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99E3E" w14:textId="4AB77546" w:rsidR="00AC53AA" w:rsidRPr="00547171" w:rsidRDefault="00E019FC" w:rsidP="00AC53AA">
      <w:pPr>
        <w:rPr>
          <w:szCs w:val="24"/>
        </w:rPr>
      </w:pPr>
      <w:r w:rsidRPr="00547171">
        <w:rPr>
          <w:noProof/>
          <w:szCs w:val="24"/>
          <w:lang w:eastAsia="de-DE"/>
        </w:rPr>
        <w:drawing>
          <wp:anchor distT="0" distB="0" distL="114300" distR="114300" simplePos="0" relativeHeight="251677696" behindDoc="0" locked="0" layoutInCell="1" allowOverlap="1" wp14:anchorId="222912A2" wp14:editId="7B1AC9E1">
            <wp:simplePos x="0" y="0"/>
            <wp:positionH relativeFrom="margin">
              <wp:align>right</wp:align>
            </wp:positionH>
            <wp:positionV relativeFrom="paragraph">
              <wp:posOffset>612140</wp:posOffset>
            </wp:positionV>
            <wp:extent cx="1917700" cy="618490"/>
            <wp:effectExtent l="0" t="0" r="635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arbig_m.claim.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7700" cy="618490"/>
                    </a:xfrm>
                    <a:prstGeom prst="rect">
                      <a:avLst/>
                    </a:prstGeom>
                  </pic:spPr>
                </pic:pic>
              </a:graphicData>
            </a:graphic>
            <wp14:sizeRelH relativeFrom="margin">
              <wp14:pctWidth>0</wp14:pctWidth>
            </wp14:sizeRelH>
            <wp14:sizeRelV relativeFrom="margin">
              <wp14:pctHeight>0</wp14:pctHeight>
            </wp14:sizeRelV>
          </wp:anchor>
        </w:drawing>
      </w:r>
      <w:r w:rsidRPr="00547171">
        <w:rPr>
          <w:noProof/>
          <w:szCs w:val="24"/>
          <w:lang w:eastAsia="de-DE"/>
        </w:rPr>
        <w:drawing>
          <wp:anchor distT="0" distB="0" distL="114300" distR="114300" simplePos="0" relativeHeight="251679744" behindDoc="0" locked="0" layoutInCell="1" allowOverlap="1" wp14:anchorId="0CD9E970" wp14:editId="7CA21313">
            <wp:simplePos x="0" y="0"/>
            <wp:positionH relativeFrom="column">
              <wp:posOffset>2232660</wp:posOffset>
            </wp:positionH>
            <wp:positionV relativeFrom="paragraph">
              <wp:posOffset>638810</wp:posOffset>
            </wp:positionV>
            <wp:extent cx="1099185" cy="641350"/>
            <wp:effectExtent l="0" t="0" r="5715" b="635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tikett-jumpp-projekt_gross.jpg"/>
                    <pic:cNvPicPr/>
                  </pic:nvPicPr>
                  <pic:blipFill rotWithShape="1">
                    <a:blip r:embed="rId9" cstate="print">
                      <a:extLst>
                        <a:ext uri="{28A0092B-C50C-407E-A947-70E740481C1C}">
                          <a14:useLocalDpi xmlns:a14="http://schemas.microsoft.com/office/drawing/2010/main" val="0"/>
                        </a:ext>
                      </a:extLst>
                    </a:blip>
                    <a:srcRect b="11248"/>
                    <a:stretch/>
                  </pic:blipFill>
                  <pic:spPr bwMode="auto">
                    <a:xfrm>
                      <a:off x="0" y="0"/>
                      <a:ext cx="1099185" cy="641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3FD4" w:rsidRPr="00547171">
        <w:rPr>
          <w:noProof/>
          <w:szCs w:val="24"/>
          <w:lang w:eastAsia="de-DE"/>
        </w:rPr>
        <w:drawing>
          <wp:inline distT="0" distB="0" distL="0" distR="0" wp14:anchorId="4B394236" wp14:editId="7B33F72D">
            <wp:extent cx="1149350" cy="1231766"/>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UF.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2946" cy="1235620"/>
                    </a:xfrm>
                    <a:prstGeom prst="rect">
                      <a:avLst/>
                    </a:prstGeom>
                  </pic:spPr>
                </pic:pic>
              </a:graphicData>
            </a:graphic>
          </wp:inline>
        </w:drawing>
      </w:r>
      <w:r w:rsidR="00AC53AA" w:rsidRPr="00547171">
        <w:rPr>
          <w:szCs w:val="24"/>
        </w:rPr>
        <w:t xml:space="preserve">                                   </w:t>
      </w:r>
    </w:p>
    <w:p w14:paraId="5A1C4DBD" w14:textId="77777777" w:rsidR="00FB1F5E" w:rsidRPr="00547171" w:rsidRDefault="00FB1F5E" w:rsidP="004A5F44">
      <w:pPr>
        <w:pStyle w:val="Sansinterligne"/>
        <w:rPr>
          <w:rFonts w:ascii="Corbel" w:hAnsi="Corbel" w:cs="Corbel"/>
          <w:b/>
          <w:sz w:val="24"/>
          <w:lang w:val="de-DE"/>
        </w:rPr>
      </w:pPr>
    </w:p>
    <w:p w14:paraId="038E0E6D" w14:textId="77777777" w:rsidR="00CB6844" w:rsidRPr="00547171" w:rsidRDefault="00CB6844" w:rsidP="00497313">
      <w:pPr>
        <w:pStyle w:val="Default"/>
        <w:jc w:val="right"/>
        <w:rPr>
          <w:color w:val="auto"/>
          <w:lang w:val="de-DE"/>
        </w:rPr>
      </w:pPr>
    </w:p>
    <w:p w14:paraId="7F76EA11" w14:textId="7C111A0F" w:rsidR="00C26D28" w:rsidRDefault="00185F6C" w:rsidP="00185F6C">
      <w:pPr>
        <w:pStyle w:val="Default"/>
        <w:jc w:val="center"/>
        <w:rPr>
          <w:b/>
          <w:bCs/>
          <w:color w:val="auto"/>
          <w:sz w:val="28"/>
          <w:szCs w:val="28"/>
          <w:lang w:val="de-DE"/>
        </w:rPr>
      </w:pPr>
      <w:r w:rsidRPr="00547171">
        <w:rPr>
          <w:b/>
          <w:bCs/>
          <w:color w:val="auto"/>
          <w:sz w:val="28"/>
          <w:szCs w:val="28"/>
          <w:lang w:val="de-DE"/>
        </w:rPr>
        <w:t>Daten- und Faktenblatt zur</w:t>
      </w:r>
      <w:r w:rsidR="00CB6844" w:rsidRPr="00547171">
        <w:rPr>
          <w:b/>
          <w:bCs/>
          <w:color w:val="auto"/>
          <w:sz w:val="28"/>
          <w:szCs w:val="28"/>
          <w:lang w:val="de-DE"/>
        </w:rPr>
        <w:t xml:space="preserve"> Unternehmensnachfolge </w:t>
      </w:r>
    </w:p>
    <w:p w14:paraId="3721A49D" w14:textId="77777777" w:rsidR="00756329" w:rsidRPr="00547171" w:rsidRDefault="00756329" w:rsidP="00185F6C">
      <w:pPr>
        <w:pStyle w:val="Default"/>
        <w:jc w:val="center"/>
        <w:rPr>
          <w:b/>
          <w:bCs/>
          <w:color w:val="auto"/>
          <w:sz w:val="28"/>
          <w:szCs w:val="28"/>
          <w:lang w:val="de-DE"/>
        </w:rPr>
      </w:pPr>
    </w:p>
    <w:p w14:paraId="4F553952" w14:textId="77777777" w:rsidR="00547171" w:rsidRPr="00547171" w:rsidRDefault="00547171" w:rsidP="00185F6C">
      <w:pPr>
        <w:pStyle w:val="Default"/>
        <w:jc w:val="center"/>
        <w:rPr>
          <w:b/>
          <w:bCs/>
          <w:color w:val="auto"/>
          <w:lang w:val="de-DE"/>
        </w:rPr>
      </w:pPr>
    </w:p>
    <w:p w14:paraId="6EA3DB32" w14:textId="406668A6" w:rsidR="00547171" w:rsidRPr="00547171" w:rsidRDefault="00D17989" w:rsidP="00547171">
      <w:pPr>
        <w:rPr>
          <w:rFonts w:cs="Tahoma"/>
          <w:b/>
          <w:szCs w:val="24"/>
        </w:rPr>
      </w:pPr>
      <w:r>
        <w:rPr>
          <w:rFonts w:cs="Tahoma"/>
          <w:b/>
          <w:szCs w:val="24"/>
        </w:rPr>
        <w:t xml:space="preserve">1 - </w:t>
      </w:r>
      <w:r w:rsidR="00547171" w:rsidRPr="00547171">
        <w:rPr>
          <w:rFonts w:cs="Tahoma"/>
          <w:b/>
          <w:szCs w:val="24"/>
        </w:rPr>
        <w:t>Corona-Verunsicherung: Unternehmensnachfolge durch Corona noch schwieriger</w:t>
      </w:r>
    </w:p>
    <w:p w14:paraId="1F1D0AF9" w14:textId="77777777" w:rsidR="00547171" w:rsidRPr="00547171" w:rsidRDefault="00547171" w:rsidP="00547171">
      <w:pPr>
        <w:rPr>
          <w:rFonts w:eastAsia="Times New Roman" w:cs="Tahoma"/>
          <w:szCs w:val="24"/>
          <w:lang w:eastAsia="de-DE"/>
        </w:rPr>
      </w:pPr>
      <w:r w:rsidRPr="00547171">
        <w:rPr>
          <w:rFonts w:eastAsia="Times New Roman" w:cs="Tahoma"/>
          <w:szCs w:val="24"/>
          <w:lang w:eastAsia="de-DE"/>
        </w:rPr>
        <w:t>Das Interesse an Beratungen der Alt-InhaberInnen von Unternehmen an Nachfolgeberatungen durch die IHKs ist seit März 2020 stark rückläufig.</w:t>
      </w:r>
    </w:p>
    <w:p w14:paraId="383AA509" w14:textId="77777777" w:rsidR="00547171" w:rsidRPr="00547171" w:rsidRDefault="00547171" w:rsidP="00547171">
      <w:pPr>
        <w:pStyle w:val="Paragraphedeliste"/>
        <w:numPr>
          <w:ilvl w:val="0"/>
          <w:numId w:val="21"/>
        </w:numPr>
        <w:spacing w:after="160" w:line="259" w:lineRule="auto"/>
        <w:rPr>
          <w:rFonts w:ascii="Corbel" w:eastAsia="Times New Roman" w:hAnsi="Corbel" w:cs="Tahoma"/>
          <w:sz w:val="24"/>
          <w:szCs w:val="24"/>
          <w:lang w:eastAsia="de-DE"/>
        </w:rPr>
      </w:pPr>
      <w:r w:rsidRPr="00547171">
        <w:rPr>
          <w:rFonts w:ascii="Corbel" w:eastAsia="Times New Roman" w:hAnsi="Corbel" w:cs="Tahoma"/>
          <w:sz w:val="24"/>
          <w:szCs w:val="24"/>
          <w:lang w:eastAsia="de-DE"/>
        </w:rPr>
        <w:t xml:space="preserve">71 % der IHKs melden seit März 2020 einen Rückgang </w:t>
      </w:r>
    </w:p>
    <w:p w14:paraId="3CDA150C" w14:textId="77777777" w:rsidR="00547171" w:rsidRPr="00547171" w:rsidRDefault="00547171" w:rsidP="00756329">
      <w:pPr>
        <w:pStyle w:val="Paragraphedeliste"/>
        <w:numPr>
          <w:ilvl w:val="0"/>
          <w:numId w:val="21"/>
        </w:numPr>
        <w:spacing w:after="360" w:line="259" w:lineRule="auto"/>
        <w:ind w:left="714" w:hanging="357"/>
        <w:rPr>
          <w:rFonts w:ascii="Corbel" w:eastAsia="Times New Roman" w:hAnsi="Corbel" w:cs="Tahoma"/>
          <w:sz w:val="24"/>
          <w:szCs w:val="24"/>
          <w:lang w:eastAsia="de-DE"/>
        </w:rPr>
      </w:pPr>
      <w:r w:rsidRPr="00547171">
        <w:rPr>
          <w:rFonts w:ascii="Corbel" w:eastAsia="Times New Roman" w:hAnsi="Corbel" w:cs="Tahoma"/>
          <w:sz w:val="24"/>
          <w:szCs w:val="24"/>
          <w:lang w:eastAsia="de-DE"/>
        </w:rPr>
        <w:t>4 % der IHKs melden mehr Beratungen</w:t>
      </w:r>
    </w:p>
    <w:p w14:paraId="115E6ED7" w14:textId="148F8B78" w:rsidR="00547171" w:rsidRPr="00547171" w:rsidRDefault="00D17989" w:rsidP="00547171">
      <w:pPr>
        <w:rPr>
          <w:rFonts w:cs="Tahoma"/>
          <w:b/>
          <w:szCs w:val="24"/>
        </w:rPr>
      </w:pPr>
      <w:r>
        <w:rPr>
          <w:rFonts w:cs="Tahoma"/>
          <w:b/>
          <w:szCs w:val="24"/>
        </w:rPr>
        <w:t xml:space="preserve">2 - </w:t>
      </w:r>
      <w:r w:rsidR="00547171" w:rsidRPr="00547171">
        <w:rPr>
          <w:rFonts w:cs="Tahoma"/>
          <w:b/>
          <w:szCs w:val="24"/>
        </w:rPr>
        <w:t>Die Corona-Pandemie könnte den Wert der Unternehmen drücken</w:t>
      </w:r>
    </w:p>
    <w:p w14:paraId="6ECED763" w14:textId="77777777" w:rsidR="00547171" w:rsidRPr="00547171" w:rsidRDefault="00547171" w:rsidP="00547171">
      <w:pPr>
        <w:rPr>
          <w:rFonts w:cs="Tahoma"/>
          <w:szCs w:val="24"/>
        </w:rPr>
      </w:pPr>
      <w:r w:rsidRPr="00547171">
        <w:rPr>
          <w:rFonts w:cs="Tahoma"/>
          <w:szCs w:val="24"/>
        </w:rPr>
        <w:t>Laut einer DIHK-Umfrage aus dem Oktober 2020 erwägen in 13 von 79 der Kammerbezirke der IHKs teilweise bis zu 30 % der UnternehmerInnen seit dem Ausbruch der Corona-Pandemie ihren Betrieb zu schließen. 50% der IHKs rechnen mit weniger Unternehmensnachfolgen in 2020.</w:t>
      </w:r>
    </w:p>
    <w:p w14:paraId="1029F464" w14:textId="77777777" w:rsidR="00547171" w:rsidRPr="00547171" w:rsidRDefault="00547171" w:rsidP="00547171">
      <w:pPr>
        <w:rPr>
          <w:rFonts w:cs="Tahoma"/>
          <w:szCs w:val="24"/>
        </w:rPr>
      </w:pPr>
      <w:r w:rsidRPr="00547171">
        <w:rPr>
          <w:rFonts w:cs="Tahoma"/>
          <w:szCs w:val="24"/>
        </w:rPr>
        <w:t xml:space="preserve">2019 </w:t>
      </w:r>
    </w:p>
    <w:p w14:paraId="34916AE2" w14:textId="77777777" w:rsidR="00547171" w:rsidRPr="00547171" w:rsidRDefault="00547171" w:rsidP="00547171">
      <w:pPr>
        <w:pStyle w:val="Paragraphedeliste"/>
        <w:numPr>
          <w:ilvl w:val="0"/>
          <w:numId w:val="9"/>
        </w:numPr>
        <w:spacing w:after="160" w:line="259" w:lineRule="auto"/>
        <w:rPr>
          <w:rFonts w:ascii="Corbel" w:hAnsi="Corbel" w:cs="Tahoma"/>
          <w:sz w:val="24"/>
          <w:szCs w:val="24"/>
        </w:rPr>
      </w:pPr>
      <w:r w:rsidRPr="00547171">
        <w:rPr>
          <w:rFonts w:ascii="Corbel" w:hAnsi="Corbel" w:cs="Tahoma"/>
          <w:sz w:val="24"/>
          <w:szCs w:val="24"/>
        </w:rPr>
        <w:t xml:space="preserve">45% der Senior-UnternehmerInnen sind nicht oder kaum vorbereitet </w:t>
      </w:r>
    </w:p>
    <w:p w14:paraId="49BE2FAD" w14:textId="77777777" w:rsidR="00547171" w:rsidRPr="00547171" w:rsidRDefault="00547171" w:rsidP="00547171">
      <w:pPr>
        <w:pStyle w:val="Paragraphedeliste"/>
        <w:numPr>
          <w:ilvl w:val="0"/>
          <w:numId w:val="9"/>
        </w:numPr>
        <w:spacing w:after="160" w:line="259" w:lineRule="auto"/>
        <w:rPr>
          <w:rFonts w:ascii="Corbel" w:hAnsi="Corbel" w:cs="Tahoma"/>
          <w:sz w:val="24"/>
          <w:szCs w:val="24"/>
        </w:rPr>
      </w:pPr>
      <w:r w:rsidRPr="00547171">
        <w:rPr>
          <w:rFonts w:ascii="Corbel" w:hAnsi="Corbel" w:cs="Tahoma"/>
          <w:sz w:val="24"/>
          <w:szCs w:val="24"/>
        </w:rPr>
        <w:t xml:space="preserve">30% suchen </w:t>
      </w:r>
      <w:proofErr w:type="spellStart"/>
      <w:r w:rsidRPr="00547171">
        <w:rPr>
          <w:rFonts w:ascii="Corbel" w:hAnsi="Corbel" w:cs="Tahoma"/>
          <w:sz w:val="24"/>
          <w:szCs w:val="24"/>
        </w:rPr>
        <w:t>NachfolgerIn</w:t>
      </w:r>
      <w:proofErr w:type="spellEnd"/>
      <w:r w:rsidRPr="00547171">
        <w:rPr>
          <w:rFonts w:ascii="Corbel" w:hAnsi="Corbel" w:cs="Tahoma"/>
          <w:sz w:val="24"/>
          <w:szCs w:val="24"/>
        </w:rPr>
        <w:t xml:space="preserve"> für ein Handelsunternehmen </w:t>
      </w:r>
    </w:p>
    <w:p w14:paraId="2037D5F1" w14:textId="77777777" w:rsidR="00547171" w:rsidRPr="00547171" w:rsidRDefault="00547171" w:rsidP="00547171">
      <w:pPr>
        <w:pStyle w:val="Paragraphedeliste"/>
        <w:numPr>
          <w:ilvl w:val="0"/>
          <w:numId w:val="9"/>
        </w:numPr>
        <w:spacing w:after="160" w:line="259" w:lineRule="auto"/>
        <w:rPr>
          <w:rFonts w:ascii="Corbel" w:hAnsi="Corbel" w:cs="Tahoma"/>
          <w:sz w:val="24"/>
          <w:szCs w:val="24"/>
        </w:rPr>
      </w:pPr>
      <w:r w:rsidRPr="00547171">
        <w:rPr>
          <w:rFonts w:ascii="Corbel" w:hAnsi="Corbel" w:cs="Tahoma"/>
          <w:sz w:val="24"/>
          <w:szCs w:val="24"/>
        </w:rPr>
        <w:t xml:space="preserve">21 % suchen </w:t>
      </w:r>
      <w:proofErr w:type="spellStart"/>
      <w:r w:rsidRPr="00547171">
        <w:rPr>
          <w:rFonts w:ascii="Corbel" w:hAnsi="Corbel" w:cs="Tahoma"/>
          <w:sz w:val="24"/>
          <w:szCs w:val="24"/>
        </w:rPr>
        <w:t>NachfolgerIn</w:t>
      </w:r>
      <w:proofErr w:type="spellEnd"/>
      <w:r w:rsidRPr="00547171">
        <w:rPr>
          <w:rFonts w:ascii="Corbel" w:hAnsi="Corbel" w:cs="Tahoma"/>
          <w:sz w:val="24"/>
          <w:szCs w:val="24"/>
        </w:rPr>
        <w:t xml:space="preserve"> für einen Industriebetrieb </w:t>
      </w:r>
    </w:p>
    <w:p w14:paraId="19174D14" w14:textId="36C70C75" w:rsidR="00547171" w:rsidRPr="00547171" w:rsidRDefault="00547171" w:rsidP="00547171">
      <w:pPr>
        <w:pStyle w:val="Paragraphedeliste"/>
        <w:numPr>
          <w:ilvl w:val="0"/>
          <w:numId w:val="9"/>
        </w:numPr>
        <w:spacing w:after="160" w:line="259" w:lineRule="auto"/>
        <w:rPr>
          <w:rFonts w:ascii="Corbel" w:hAnsi="Corbel" w:cs="Tahoma"/>
          <w:sz w:val="24"/>
          <w:szCs w:val="24"/>
        </w:rPr>
      </w:pPr>
      <w:r w:rsidRPr="00547171">
        <w:rPr>
          <w:rFonts w:ascii="Corbel" w:hAnsi="Corbel" w:cs="Tahoma"/>
          <w:sz w:val="24"/>
          <w:szCs w:val="24"/>
        </w:rPr>
        <w:t xml:space="preserve">18 % suchen </w:t>
      </w:r>
      <w:proofErr w:type="spellStart"/>
      <w:r w:rsidRPr="00547171">
        <w:rPr>
          <w:rFonts w:ascii="Corbel" w:hAnsi="Corbel" w:cs="Tahoma"/>
          <w:sz w:val="24"/>
          <w:szCs w:val="24"/>
        </w:rPr>
        <w:t>NachfolgerIn</w:t>
      </w:r>
      <w:proofErr w:type="spellEnd"/>
      <w:r w:rsidRPr="00547171">
        <w:rPr>
          <w:rFonts w:ascii="Corbel" w:hAnsi="Corbel" w:cs="Tahoma"/>
          <w:sz w:val="24"/>
          <w:szCs w:val="24"/>
        </w:rPr>
        <w:t xml:space="preserve"> für ein Hotel- und Gaststättengewerbe</w:t>
      </w:r>
    </w:p>
    <w:p w14:paraId="2DF4B988" w14:textId="77777777" w:rsidR="00547171" w:rsidRPr="00547171" w:rsidRDefault="00547171" w:rsidP="00547171">
      <w:pPr>
        <w:pStyle w:val="Paragraphedeliste"/>
        <w:numPr>
          <w:ilvl w:val="0"/>
          <w:numId w:val="9"/>
        </w:numPr>
        <w:spacing w:after="160" w:line="259" w:lineRule="auto"/>
        <w:rPr>
          <w:rFonts w:ascii="Corbel" w:hAnsi="Corbel" w:cs="Tahoma"/>
          <w:sz w:val="24"/>
          <w:szCs w:val="24"/>
        </w:rPr>
      </w:pPr>
      <w:r w:rsidRPr="00547171">
        <w:rPr>
          <w:rFonts w:ascii="Corbel" w:hAnsi="Corbel" w:cs="Tahoma"/>
          <w:sz w:val="24"/>
          <w:szCs w:val="24"/>
        </w:rPr>
        <w:t>4302 Nachfolgeinteressierte für Unternehmen: - 50% weniger seit 2009</w:t>
      </w:r>
    </w:p>
    <w:p w14:paraId="207E51E7" w14:textId="77777777" w:rsidR="00547171" w:rsidRPr="00547171" w:rsidRDefault="00547171" w:rsidP="00547171">
      <w:pPr>
        <w:pStyle w:val="Paragraphedeliste"/>
        <w:numPr>
          <w:ilvl w:val="0"/>
          <w:numId w:val="9"/>
        </w:numPr>
        <w:spacing w:after="160" w:line="259" w:lineRule="auto"/>
        <w:rPr>
          <w:rFonts w:ascii="Corbel" w:hAnsi="Corbel" w:cs="Tahoma"/>
          <w:sz w:val="24"/>
          <w:szCs w:val="24"/>
        </w:rPr>
      </w:pPr>
      <w:r w:rsidRPr="00547171">
        <w:rPr>
          <w:rFonts w:ascii="Corbel" w:hAnsi="Corbel" w:cs="Tahoma"/>
          <w:sz w:val="24"/>
          <w:szCs w:val="24"/>
        </w:rPr>
        <w:t>40 % der Nachfolgeinteressierten suchen einen Industriebetrieb (2019: 45 %)</w:t>
      </w:r>
    </w:p>
    <w:p w14:paraId="2918C6F0" w14:textId="77777777" w:rsidR="00547171" w:rsidRPr="00547171" w:rsidRDefault="00547171" w:rsidP="00547171">
      <w:pPr>
        <w:pStyle w:val="Paragraphedeliste"/>
        <w:numPr>
          <w:ilvl w:val="0"/>
          <w:numId w:val="9"/>
        </w:numPr>
        <w:spacing w:after="160" w:line="259" w:lineRule="auto"/>
        <w:rPr>
          <w:rFonts w:ascii="Corbel" w:hAnsi="Corbel" w:cs="Tahoma"/>
          <w:sz w:val="24"/>
          <w:szCs w:val="24"/>
        </w:rPr>
      </w:pPr>
      <w:r w:rsidRPr="00547171">
        <w:rPr>
          <w:rFonts w:ascii="Corbel" w:hAnsi="Corbel" w:cs="Tahoma"/>
          <w:sz w:val="24"/>
          <w:szCs w:val="24"/>
        </w:rPr>
        <w:t xml:space="preserve">Risiken: hohe Kaufpreise, Innovations- und Wettbewerbsdruck, Abhängigkeit von Kunden </w:t>
      </w:r>
    </w:p>
    <w:p w14:paraId="3694AB9F" w14:textId="77777777" w:rsidR="00547171" w:rsidRPr="00547171" w:rsidRDefault="00547171" w:rsidP="00547171">
      <w:pPr>
        <w:pStyle w:val="Paragraphedeliste"/>
        <w:numPr>
          <w:ilvl w:val="0"/>
          <w:numId w:val="9"/>
        </w:numPr>
        <w:spacing w:after="160" w:line="259" w:lineRule="auto"/>
        <w:rPr>
          <w:rFonts w:ascii="Corbel" w:hAnsi="Corbel" w:cs="Tahoma"/>
          <w:sz w:val="24"/>
          <w:szCs w:val="24"/>
        </w:rPr>
      </w:pPr>
      <w:r w:rsidRPr="00547171">
        <w:rPr>
          <w:rFonts w:ascii="Corbel" w:hAnsi="Corbel" w:cs="Tahoma"/>
          <w:sz w:val="24"/>
          <w:szCs w:val="24"/>
        </w:rPr>
        <w:t xml:space="preserve">Rechnerisch kommen auf eine/-n potenzielle-/n Übernehmende/-n 1,7 Senior-UnternehmerInnen </w:t>
      </w:r>
    </w:p>
    <w:p w14:paraId="0088C2B7" w14:textId="77777777" w:rsidR="00547171" w:rsidRPr="00547171" w:rsidRDefault="00547171" w:rsidP="00547171">
      <w:pPr>
        <w:pStyle w:val="Paragraphedeliste"/>
        <w:numPr>
          <w:ilvl w:val="0"/>
          <w:numId w:val="9"/>
        </w:numPr>
        <w:spacing w:after="160" w:line="259" w:lineRule="auto"/>
        <w:rPr>
          <w:rFonts w:ascii="Corbel" w:hAnsi="Corbel" w:cs="Tahoma"/>
          <w:color w:val="CC0099"/>
          <w:sz w:val="24"/>
          <w:szCs w:val="24"/>
        </w:rPr>
      </w:pPr>
      <w:r w:rsidRPr="00547171">
        <w:rPr>
          <w:rFonts w:ascii="Corbel" w:hAnsi="Corbel" w:cs="Tahoma"/>
          <w:color w:val="CC0099"/>
          <w:sz w:val="24"/>
          <w:szCs w:val="24"/>
        </w:rPr>
        <w:t>21 % der Beratenen sind Frauen, sowohl denjenigen, die eine Nachfolgelösung für ihren Betrieb anstreben, als auch derjenigen, die ein Unternehmen übernehmen möchten</w:t>
      </w:r>
    </w:p>
    <w:p w14:paraId="19A292B1" w14:textId="77777777" w:rsidR="00547171" w:rsidRPr="00547171" w:rsidRDefault="00547171" w:rsidP="00547171">
      <w:pPr>
        <w:pStyle w:val="Paragraphedeliste"/>
        <w:numPr>
          <w:ilvl w:val="0"/>
          <w:numId w:val="9"/>
        </w:numPr>
        <w:spacing w:after="160" w:line="259" w:lineRule="auto"/>
        <w:rPr>
          <w:rFonts w:ascii="Corbel" w:hAnsi="Corbel" w:cs="Tahoma"/>
          <w:color w:val="CC0099"/>
          <w:sz w:val="24"/>
          <w:szCs w:val="24"/>
        </w:rPr>
      </w:pPr>
      <w:r w:rsidRPr="00547171">
        <w:rPr>
          <w:rFonts w:ascii="Corbel" w:hAnsi="Corbel" w:cs="Tahoma"/>
          <w:color w:val="CC0099"/>
          <w:sz w:val="24"/>
          <w:szCs w:val="24"/>
        </w:rPr>
        <w:t>44 % aller Gründungsinteressierten sind Frauen, sei es an der Übernahme oder an der Neugründung</w:t>
      </w:r>
    </w:p>
    <w:p w14:paraId="6E83B995" w14:textId="77777777" w:rsidR="00756329" w:rsidRDefault="00756329">
      <w:pPr>
        <w:jc w:val="left"/>
        <w:rPr>
          <w:rFonts w:cs="Tahoma"/>
          <w:szCs w:val="24"/>
        </w:rPr>
      </w:pPr>
      <w:r>
        <w:rPr>
          <w:rFonts w:cs="Tahoma"/>
          <w:szCs w:val="24"/>
        </w:rPr>
        <w:br w:type="page"/>
      </w:r>
    </w:p>
    <w:p w14:paraId="401AE2A1" w14:textId="77777777" w:rsidR="00756329" w:rsidRDefault="00756329" w:rsidP="00547171">
      <w:pPr>
        <w:rPr>
          <w:rFonts w:cs="Tahoma"/>
          <w:szCs w:val="24"/>
        </w:rPr>
      </w:pPr>
    </w:p>
    <w:p w14:paraId="0CE24A3A" w14:textId="4E7380A4" w:rsidR="00547171" w:rsidRPr="00547171" w:rsidRDefault="00547171" w:rsidP="00547171">
      <w:pPr>
        <w:rPr>
          <w:rFonts w:cs="Tahoma"/>
          <w:szCs w:val="24"/>
        </w:rPr>
      </w:pPr>
      <w:r w:rsidRPr="00547171">
        <w:rPr>
          <w:rFonts w:cs="Tahoma"/>
          <w:szCs w:val="24"/>
        </w:rPr>
        <w:t xml:space="preserve">2020 </w:t>
      </w:r>
    </w:p>
    <w:p w14:paraId="60463B58" w14:textId="77777777" w:rsidR="00547171" w:rsidRPr="00547171" w:rsidRDefault="00547171" w:rsidP="00547171">
      <w:pPr>
        <w:pStyle w:val="Paragraphedeliste"/>
        <w:numPr>
          <w:ilvl w:val="0"/>
          <w:numId w:val="10"/>
        </w:numPr>
        <w:spacing w:after="160" w:line="259" w:lineRule="auto"/>
        <w:rPr>
          <w:rFonts w:ascii="Corbel" w:hAnsi="Corbel" w:cs="Tahoma"/>
          <w:sz w:val="24"/>
          <w:szCs w:val="24"/>
        </w:rPr>
      </w:pPr>
      <w:r w:rsidRPr="00547171">
        <w:rPr>
          <w:rFonts w:ascii="Corbel" w:hAnsi="Corbel" w:cs="Tahoma"/>
          <w:sz w:val="24"/>
          <w:szCs w:val="24"/>
        </w:rPr>
        <w:t>2/3 der Betriebe haben erhebliche Umsatzeinbußen und rund 40 % einen Eigenkapitalrückgang</w:t>
      </w:r>
    </w:p>
    <w:p w14:paraId="015F7DDF" w14:textId="77777777" w:rsidR="00547171" w:rsidRPr="00547171" w:rsidRDefault="00547171" w:rsidP="00547171">
      <w:pPr>
        <w:pStyle w:val="Paragraphedeliste"/>
        <w:numPr>
          <w:ilvl w:val="0"/>
          <w:numId w:val="10"/>
        </w:numPr>
        <w:spacing w:after="160" w:line="259" w:lineRule="auto"/>
        <w:rPr>
          <w:rFonts w:ascii="Corbel" w:hAnsi="Corbel" w:cs="Tahoma"/>
          <w:sz w:val="24"/>
          <w:szCs w:val="24"/>
        </w:rPr>
      </w:pPr>
      <w:r w:rsidRPr="00547171">
        <w:rPr>
          <w:rFonts w:ascii="Corbel" w:hAnsi="Corbel" w:cs="Tahoma"/>
          <w:sz w:val="24"/>
          <w:szCs w:val="24"/>
        </w:rPr>
        <w:t>Starker Umsatzrückgang durch die Covid-19-Pandemie</w:t>
      </w:r>
    </w:p>
    <w:p w14:paraId="476C762E" w14:textId="77777777" w:rsidR="00547171" w:rsidRPr="00547171" w:rsidRDefault="00547171" w:rsidP="00547171">
      <w:pPr>
        <w:pStyle w:val="Paragraphedeliste"/>
        <w:numPr>
          <w:ilvl w:val="0"/>
          <w:numId w:val="11"/>
        </w:numPr>
        <w:spacing w:after="160" w:line="259" w:lineRule="auto"/>
        <w:rPr>
          <w:rFonts w:ascii="Corbel" w:hAnsi="Corbel" w:cs="Tahoma"/>
          <w:sz w:val="24"/>
          <w:szCs w:val="24"/>
        </w:rPr>
      </w:pPr>
      <w:r w:rsidRPr="00547171">
        <w:rPr>
          <w:rFonts w:ascii="Corbel" w:hAnsi="Corbel" w:cs="Tahoma"/>
          <w:sz w:val="24"/>
          <w:szCs w:val="24"/>
        </w:rPr>
        <w:t>Hotel- und Gaststätten: - 93 %</w:t>
      </w:r>
    </w:p>
    <w:p w14:paraId="26FE95F6" w14:textId="77777777" w:rsidR="00547171" w:rsidRPr="00547171" w:rsidRDefault="00547171" w:rsidP="00547171">
      <w:pPr>
        <w:pStyle w:val="Paragraphedeliste"/>
        <w:numPr>
          <w:ilvl w:val="0"/>
          <w:numId w:val="11"/>
        </w:numPr>
        <w:spacing w:after="160" w:line="259" w:lineRule="auto"/>
        <w:rPr>
          <w:rFonts w:ascii="Corbel" w:hAnsi="Corbel" w:cs="Tahoma"/>
          <w:sz w:val="24"/>
          <w:szCs w:val="24"/>
        </w:rPr>
      </w:pPr>
      <w:r w:rsidRPr="00547171">
        <w:rPr>
          <w:rFonts w:ascii="Corbel" w:hAnsi="Corbel" w:cs="Tahoma"/>
          <w:sz w:val="24"/>
          <w:szCs w:val="24"/>
        </w:rPr>
        <w:t>Reisewirtschaft: - 94 %</w:t>
      </w:r>
    </w:p>
    <w:p w14:paraId="0FCBB5BE" w14:textId="0D35BA60" w:rsidR="00547171" w:rsidRPr="00547171" w:rsidRDefault="00547171" w:rsidP="00547171">
      <w:pPr>
        <w:pStyle w:val="Paragraphedeliste"/>
        <w:numPr>
          <w:ilvl w:val="0"/>
          <w:numId w:val="11"/>
        </w:numPr>
        <w:spacing w:after="160" w:line="259" w:lineRule="auto"/>
        <w:rPr>
          <w:rFonts w:ascii="Corbel" w:hAnsi="Corbel" w:cs="Tahoma"/>
          <w:sz w:val="24"/>
          <w:szCs w:val="24"/>
        </w:rPr>
      </w:pPr>
      <w:r w:rsidRPr="00547171">
        <w:rPr>
          <w:rFonts w:ascii="Corbel" w:hAnsi="Corbel" w:cs="Tahoma"/>
          <w:sz w:val="24"/>
          <w:szCs w:val="24"/>
        </w:rPr>
        <w:t>Kfz-Handel: -75 %</w:t>
      </w:r>
    </w:p>
    <w:p w14:paraId="1507F66B" w14:textId="77777777" w:rsidR="00547171" w:rsidRPr="00547171" w:rsidRDefault="00547171" w:rsidP="00547171">
      <w:pPr>
        <w:pStyle w:val="Paragraphedeliste"/>
        <w:numPr>
          <w:ilvl w:val="0"/>
          <w:numId w:val="11"/>
        </w:numPr>
        <w:spacing w:after="160" w:line="259" w:lineRule="auto"/>
        <w:rPr>
          <w:rFonts w:ascii="Corbel" w:hAnsi="Corbel" w:cs="Tahoma"/>
          <w:sz w:val="24"/>
          <w:szCs w:val="24"/>
        </w:rPr>
      </w:pPr>
      <w:r w:rsidRPr="00547171">
        <w:rPr>
          <w:rFonts w:ascii="Corbel" w:hAnsi="Corbel" w:cs="Tahoma"/>
          <w:sz w:val="24"/>
          <w:szCs w:val="24"/>
        </w:rPr>
        <w:t>Einzelhandel: -67 %</w:t>
      </w:r>
    </w:p>
    <w:p w14:paraId="6D8529C8" w14:textId="65B25A7E" w:rsidR="00547171" w:rsidRPr="00072EEF" w:rsidRDefault="00547171" w:rsidP="00756329">
      <w:pPr>
        <w:spacing w:after="360"/>
        <w:rPr>
          <w:rFonts w:cs="Tahoma"/>
          <w:b/>
          <w:bCs/>
          <w:sz w:val="20"/>
          <w:szCs w:val="20"/>
        </w:rPr>
      </w:pPr>
      <w:r w:rsidRPr="00072EEF">
        <w:rPr>
          <w:rFonts w:cs="Tahoma"/>
          <w:b/>
          <w:bCs/>
          <w:sz w:val="20"/>
          <w:szCs w:val="20"/>
        </w:rPr>
        <w:t>Quelle: DIHK-Unternehmensnachfolgereport 2019 und 2020</w:t>
      </w:r>
    </w:p>
    <w:p w14:paraId="011FD11D" w14:textId="03D35ECA" w:rsidR="00547171" w:rsidRPr="00547171" w:rsidRDefault="00D17989" w:rsidP="00547171">
      <w:pPr>
        <w:rPr>
          <w:rFonts w:cs="Tahoma"/>
          <w:b/>
          <w:szCs w:val="24"/>
        </w:rPr>
      </w:pPr>
      <w:r>
        <w:rPr>
          <w:rFonts w:cs="Tahoma"/>
          <w:b/>
          <w:szCs w:val="24"/>
        </w:rPr>
        <w:t xml:space="preserve">3 - </w:t>
      </w:r>
      <w:r w:rsidR="00547171" w:rsidRPr="00547171">
        <w:rPr>
          <w:rFonts w:cs="Tahoma"/>
          <w:b/>
          <w:szCs w:val="24"/>
        </w:rPr>
        <w:t xml:space="preserve">Nachfolgeplanerinnen und </w:t>
      </w:r>
      <w:r w:rsidR="00072EEF">
        <w:rPr>
          <w:rFonts w:cs="Tahoma"/>
          <w:b/>
          <w:szCs w:val="24"/>
        </w:rPr>
        <w:t>-</w:t>
      </w:r>
      <w:r w:rsidR="00547171" w:rsidRPr="00547171">
        <w:rPr>
          <w:rFonts w:cs="Tahoma"/>
          <w:b/>
          <w:szCs w:val="24"/>
        </w:rPr>
        <w:t>planer sind besser vorbereitet</w:t>
      </w:r>
    </w:p>
    <w:p w14:paraId="3CA5EE5F" w14:textId="77777777" w:rsidR="00547171" w:rsidRPr="00547171" w:rsidRDefault="00547171" w:rsidP="00547171">
      <w:pPr>
        <w:rPr>
          <w:rFonts w:cs="Tahoma"/>
          <w:szCs w:val="24"/>
        </w:rPr>
      </w:pPr>
      <w:r w:rsidRPr="00547171">
        <w:rPr>
          <w:rFonts w:cs="Tahoma"/>
          <w:szCs w:val="24"/>
        </w:rPr>
        <w:t>Kurzfristige Nachfolge wird weiterhin vorangebracht</w:t>
      </w:r>
    </w:p>
    <w:p w14:paraId="44B68C21" w14:textId="77777777" w:rsidR="00547171" w:rsidRPr="00547171" w:rsidRDefault="00547171" w:rsidP="00547171">
      <w:pPr>
        <w:pStyle w:val="Paragraphedeliste"/>
        <w:numPr>
          <w:ilvl w:val="0"/>
          <w:numId w:val="13"/>
        </w:numPr>
        <w:spacing w:after="160" w:line="259" w:lineRule="auto"/>
        <w:rPr>
          <w:rFonts w:ascii="Corbel" w:hAnsi="Corbel" w:cs="Tahoma"/>
          <w:sz w:val="24"/>
          <w:szCs w:val="24"/>
        </w:rPr>
      </w:pPr>
      <w:r w:rsidRPr="00547171">
        <w:rPr>
          <w:rFonts w:ascii="Corbel" w:hAnsi="Corbel" w:cs="Tahoma"/>
          <w:sz w:val="24"/>
          <w:szCs w:val="24"/>
        </w:rPr>
        <w:t>29 % der Senior-UnternehmerInnen sind über 60 Jahre und 13 % davon sind über 65 Jahre</w:t>
      </w:r>
    </w:p>
    <w:p w14:paraId="2A2A9639" w14:textId="77777777" w:rsidR="00547171" w:rsidRPr="00547171" w:rsidRDefault="00547171" w:rsidP="00547171">
      <w:pPr>
        <w:pStyle w:val="Paragraphedeliste"/>
        <w:numPr>
          <w:ilvl w:val="0"/>
          <w:numId w:val="13"/>
        </w:numPr>
        <w:spacing w:after="160" w:line="259" w:lineRule="auto"/>
        <w:rPr>
          <w:rFonts w:ascii="Corbel" w:hAnsi="Corbel" w:cs="Tahoma"/>
          <w:sz w:val="24"/>
          <w:szCs w:val="24"/>
        </w:rPr>
      </w:pPr>
      <w:r w:rsidRPr="00547171">
        <w:rPr>
          <w:rFonts w:ascii="Corbel" w:hAnsi="Corbel" w:cs="Tahoma"/>
          <w:sz w:val="24"/>
          <w:szCs w:val="24"/>
        </w:rPr>
        <w:t>7 % (2020) des Mittelstandes statt bisher 4 % bis 6 % in den vorherliegenden Jahren wollen die Nachfolge in den nächsten 2 Jahren wie geplant umsetzen</w:t>
      </w:r>
    </w:p>
    <w:p w14:paraId="3ED1C014" w14:textId="77777777" w:rsidR="00547171" w:rsidRPr="00547171" w:rsidRDefault="00547171" w:rsidP="00547171">
      <w:pPr>
        <w:pStyle w:val="Paragraphedeliste"/>
        <w:numPr>
          <w:ilvl w:val="0"/>
          <w:numId w:val="13"/>
        </w:numPr>
        <w:spacing w:after="160" w:line="259" w:lineRule="auto"/>
        <w:rPr>
          <w:rFonts w:ascii="Corbel" w:hAnsi="Corbel" w:cs="Tahoma"/>
          <w:sz w:val="24"/>
          <w:szCs w:val="24"/>
        </w:rPr>
      </w:pPr>
      <w:r w:rsidRPr="00547171">
        <w:rPr>
          <w:rFonts w:ascii="Corbel" w:hAnsi="Corbel" w:cs="Tahoma"/>
          <w:sz w:val="24"/>
          <w:szCs w:val="24"/>
        </w:rPr>
        <w:t xml:space="preserve">31 % (2019: 24 %) der KMU haben bereits eine/n </w:t>
      </w:r>
      <w:proofErr w:type="spellStart"/>
      <w:r w:rsidRPr="00547171">
        <w:rPr>
          <w:rFonts w:ascii="Corbel" w:hAnsi="Corbel" w:cs="Tahoma"/>
          <w:sz w:val="24"/>
          <w:szCs w:val="24"/>
        </w:rPr>
        <w:t>NachfolgerIn</w:t>
      </w:r>
      <w:proofErr w:type="spellEnd"/>
      <w:r w:rsidRPr="00547171">
        <w:rPr>
          <w:rFonts w:ascii="Corbel" w:hAnsi="Corbel" w:cs="Tahoma"/>
          <w:sz w:val="24"/>
          <w:szCs w:val="24"/>
        </w:rPr>
        <w:t xml:space="preserve">, davon konnten </w:t>
      </w:r>
      <w:r w:rsidRPr="00547171">
        <w:rPr>
          <w:rFonts w:ascii="Corbel" w:hAnsi="Corbel" w:cs="Tahoma"/>
          <w:sz w:val="24"/>
          <w:szCs w:val="24"/>
        </w:rPr>
        <w:br/>
        <w:t xml:space="preserve">18 % (2019: 12 %) die Verhandlungen erfolgreich abschließen   </w:t>
      </w:r>
    </w:p>
    <w:p w14:paraId="0FC2A206" w14:textId="77777777" w:rsidR="00547171" w:rsidRPr="00547171" w:rsidRDefault="00547171" w:rsidP="00547171">
      <w:pPr>
        <w:pStyle w:val="Paragraphedeliste"/>
        <w:numPr>
          <w:ilvl w:val="0"/>
          <w:numId w:val="13"/>
        </w:numPr>
        <w:spacing w:after="160" w:line="259" w:lineRule="auto"/>
        <w:rPr>
          <w:rFonts w:ascii="Corbel" w:hAnsi="Corbel" w:cs="Tahoma"/>
          <w:sz w:val="24"/>
          <w:szCs w:val="24"/>
        </w:rPr>
      </w:pPr>
      <w:r w:rsidRPr="00547171">
        <w:rPr>
          <w:rFonts w:ascii="Corbel" w:hAnsi="Corbel" w:cs="Tahoma"/>
          <w:sz w:val="24"/>
          <w:szCs w:val="24"/>
        </w:rPr>
        <w:t xml:space="preserve">Die Nachfolge-Prognose für die Jahre 2021 und 2022 ist positiv: </w:t>
      </w:r>
      <w:r w:rsidRPr="00547171">
        <w:rPr>
          <w:rFonts w:ascii="Corbel" w:hAnsi="Corbel" w:cs="Tahoma"/>
          <w:sz w:val="24"/>
          <w:szCs w:val="24"/>
        </w:rPr>
        <w:br/>
        <w:t xml:space="preserve">83 % (2019: 58 %) der KMU haben eine/n </w:t>
      </w:r>
      <w:proofErr w:type="spellStart"/>
      <w:r w:rsidRPr="00547171">
        <w:rPr>
          <w:rFonts w:ascii="Corbel" w:hAnsi="Corbel" w:cs="Tahoma"/>
          <w:sz w:val="24"/>
          <w:szCs w:val="24"/>
        </w:rPr>
        <w:t>NachfolgerIn</w:t>
      </w:r>
      <w:proofErr w:type="spellEnd"/>
      <w:r w:rsidRPr="00547171">
        <w:rPr>
          <w:rFonts w:ascii="Corbel" w:hAnsi="Corbel" w:cs="Tahoma"/>
          <w:sz w:val="24"/>
          <w:szCs w:val="24"/>
        </w:rPr>
        <w:t xml:space="preserve"> gefunden, davon haben </w:t>
      </w:r>
      <w:r w:rsidRPr="00547171">
        <w:rPr>
          <w:rFonts w:ascii="Corbel" w:hAnsi="Corbel" w:cs="Tahoma"/>
          <w:sz w:val="24"/>
          <w:szCs w:val="24"/>
        </w:rPr>
        <w:br/>
        <w:t>48 % die Verhandlungen bereits erfolgreich abgeschlossen</w:t>
      </w:r>
    </w:p>
    <w:p w14:paraId="38CE8317" w14:textId="77777777" w:rsidR="00547171" w:rsidRPr="00547171" w:rsidRDefault="00547171" w:rsidP="00547171">
      <w:pPr>
        <w:rPr>
          <w:rFonts w:cs="Tahoma"/>
          <w:szCs w:val="24"/>
        </w:rPr>
      </w:pPr>
      <w:r w:rsidRPr="00547171">
        <w:rPr>
          <w:rFonts w:cs="Tahoma"/>
          <w:szCs w:val="24"/>
        </w:rPr>
        <w:t>Die unsicheren Aussichten und Folgen des Pandemie-Verlaufs zwingen die KMU, existenzielle Fragen in den Vordergrund zu holen, den Umsatz und die Beschäftigung zu sichern. Damit treten die Planungen der Unternehmensnachfolge in den Hintergrund. Die Verhandlungen können ins Stocken geraten. Je nach Verlauf der Krise ändern sich Rahmenbedingungen und dies kann manche Nachfolge gefährden.</w:t>
      </w:r>
    </w:p>
    <w:p w14:paraId="6587EB0F" w14:textId="77777777" w:rsidR="00547171" w:rsidRPr="00547171" w:rsidRDefault="00547171" w:rsidP="00547171">
      <w:pPr>
        <w:pStyle w:val="Paragraphedeliste"/>
        <w:numPr>
          <w:ilvl w:val="0"/>
          <w:numId w:val="14"/>
        </w:numPr>
        <w:spacing w:after="160" w:line="259" w:lineRule="auto"/>
        <w:rPr>
          <w:rFonts w:ascii="Corbel" w:hAnsi="Corbel" w:cs="Tahoma"/>
          <w:sz w:val="24"/>
          <w:szCs w:val="24"/>
        </w:rPr>
      </w:pPr>
      <w:r w:rsidRPr="00547171">
        <w:rPr>
          <w:rFonts w:ascii="Corbel" w:hAnsi="Corbel" w:cs="Tahoma"/>
          <w:sz w:val="24"/>
          <w:szCs w:val="24"/>
        </w:rPr>
        <w:t xml:space="preserve">Seit dem ersten Lockdown liegt von April bis Juni 2020 der Anteil von Unternehmen ohne konkrete Pläne für die Nachfolge bei 53 % (47% Februar/März 2020). Inserate für die Unternehmensnachfolge werden im Jahresverlauf 2020 auf der bundesweiten Internetplattform </w:t>
      </w:r>
      <w:hyperlink r:id="rId11" w:history="1">
        <w:r w:rsidRPr="00547171">
          <w:rPr>
            <w:rStyle w:val="Lienhypertexte"/>
            <w:rFonts w:ascii="Corbel" w:hAnsi="Corbel" w:cs="Tahoma"/>
            <w:sz w:val="24"/>
            <w:szCs w:val="24"/>
          </w:rPr>
          <w:t>www.nexxt-change.de</w:t>
        </w:r>
      </w:hyperlink>
      <w:r w:rsidRPr="00547171">
        <w:rPr>
          <w:rFonts w:ascii="Corbel" w:hAnsi="Corbel" w:cs="Tahoma"/>
          <w:sz w:val="24"/>
          <w:szCs w:val="24"/>
        </w:rPr>
        <w:t xml:space="preserve"> geschaltet, aber nur bei durchschnittlich </w:t>
      </w:r>
      <w:r w:rsidRPr="00547171">
        <w:rPr>
          <w:rFonts w:ascii="Corbel" w:hAnsi="Corbel" w:cs="Tahoma"/>
          <w:sz w:val="24"/>
          <w:szCs w:val="24"/>
        </w:rPr>
        <w:br/>
        <w:t>65 % des Vorkrisenniveaus von ca. 650 Angeboten im Februar 2020.</w:t>
      </w:r>
    </w:p>
    <w:p w14:paraId="2A519942" w14:textId="77777777" w:rsidR="00547171" w:rsidRPr="00547171" w:rsidRDefault="00547171" w:rsidP="00547171">
      <w:pPr>
        <w:pStyle w:val="Paragraphedeliste"/>
        <w:numPr>
          <w:ilvl w:val="0"/>
          <w:numId w:val="12"/>
        </w:numPr>
        <w:spacing w:after="160" w:line="259" w:lineRule="auto"/>
        <w:rPr>
          <w:rFonts w:ascii="Corbel" w:hAnsi="Corbel" w:cs="Tahoma"/>
          <w:sz w:val="24"/>
          <w:szCs w:val="24"/>
        </w:rPr>
      </w:pPr>
      <w:r w:rsidRPr="00547171">
        <w:rPr>
          <w:rFonts w:ascii="Corbel" w:hAnsi="Corbel" w:cs="Tahoma"/>
          <w:sz w:val="24"/>
          <w:szCs w:val="24"/>
        </w:rPr>
        <w:t>31 % statt vorher 39 % der nachfolgeplanenden KMU hält an dem Übergabegedanken nach dem Lockdown fest</w:t>
      </w:r>
    </w:p>
    <w:p w14:paraId="177147A7" w14:textId="77777777" w:rsidR="00547171" w:rsidRPr="00547171" w:rsidRDefault="00547171" w:rsidP="00547171">
      <w:pPr>
        <w:pStyle w:val="Paragraphedeliste"/>
        <w:numPr>
          <w:ilvl w:val="0"/>
          <w:numId w:val="12"/>
        </w:numPr>
        <w:spacing w:after="160" w:line="259" w:lineRule="auto"/>
        <w:rPr>
          <w:rFonts w:ascii="Corbel" w:hAnsi="Corbel" w:cs="Tahoma"/>
          <w:sz w:val="24"/>
          <w:szCs w:val="24"/>
        </w:rPr>
      </w:pPr>
      <w:r w:rsidRPr="00547171">
        <w:rPr>
          <w:rFonts w:ascii="Corbel" w:hAnsi="Corbel" w:cs="Tahoma"/>
          <w:sz w:val="24"/>
          <w:szCs w:val="24"/>
        </w:rPr>
        <w:t>17 % statt vorher 14% der nachfolgeplanenden KMU ziehen unter der Unsicherheit der Corona-Krise eine Betriebsstillegung in Betracht.</w:t>
      </w:r>
    </w:p>
    <w:p w14:paraId="6FD6A0DD" w14:textId="77777777" w:rsidR="00547171" w:rsidRPr="00547171" w:rsidRDefault="00547171" w:rsidP="00756329">
      <w:pPr>
        <w:spacing w:after="240"/>
        <w:ind w:left="357"/>
        <w:rPr>
          <w:rFonts w:cs="Tahoma"/>
          <w:szCs w:val="24"/>
        </w:rPr>
      </w:pPr>
      <w:r w:rsidRPr="00547171">
        <w:rPr>
          <w:rFonts w:cs="Tahoma"/>
          <w:szCs w:val="24"/>
        </w:rPr>
        <w:t xml:space="preserve">Hier ist laut KfW Nachfolge-Monitoring Mittelstand 2020 kein fester Trend zu erkennen. Es könnte bei länger anhaltender Krise zu einem Muster werden. </w:t>
      </w:r>
    </w:p>
    <w:p w14:paraId="17E63E44" w14:textId="221C0909" w:rsidR="00547171" w:rsidRPr="00072EEF" w:rsidRDefault="00547171" w:rsidP="00072EEF">
      <w:pPr>
        <w:spacing w:after="240"/>
        <w:rPr>
          <w:rFonts w:cs="Tahoma"/>
          <w:b/>
          <w:bCs/>
          <w:sz w:val="20"/>
          <w:szCs w:val="20"/>
        </w:rPr>
      </w:pPr>
      <w:r w:rsidRPr="00072EEF">
        <w:rPr>
          <w:rFonts w:cs="Tahoma"/>
          <w:b/>
          <w:bCs/>
          <w:sz w:val="20"/>
          <w:szCs w:val="20"/>
        </w:rPr>
        <w:t xml:space="preserve">Quelle: KfW Nachfolge-Monitoring Mittelstand 2020 </w:t>
      </w:r>
      <w:r w:rsidR="004735CF">
        <w:rPr>
          <w:rFonts w:cs="Tahoma"/>
          <w:b/>
          <w:bCs/>
          <w:sz w:val="20"/>
          <w:szCs w:val="20"/>
        </w:rPr>
        <w:t>(12/2020)</w:t>
      </w:r>
    </w:p>
    <w:p w14:paraId="719D57F0" w14:textId="77777777" w:rsidR="00756329" w:rsidRDefault="00756329">
      <w:pPr>
        <w:jc w:val="left"/>
        <w:rPr>
          <w:rFonts w:cs="Tahoma"/>
          <w:b/>
          <w:szCs w:val="24"/>
        </w:rPr>
      </w:pPr>
      <w:r>
        <w:rPr>
          <w:rFonts w:cs="Tahoma"/>
          <w:b/>
          <w:szCs w:val="24"/>
        </w:rPr>
        <w:br w:type="page"/>
      </w:r>
    </w:p>
    <w:p w14:paraId="03F57EE0" w14:textId="77777777" w:rsidR="00756329" w:rsidRDefault="00756329" w:rsidP="00547171">
      <w:pPr>
        <w:rPr>
          <w:rFonts w:cs="Tahoma"/>
          <w:b/>
          <w:szCs w:val="24"/>
        </w:rPr>
      </w:pPr>
    </w:p>
    <w:p w14:paraId="17B35512" w14:textId="77777777" w:rsidR="00756329" w:rsidRDefault="00D17989" w:rsidP="00756329">
      <w:pPr>
        <w:spacing w:after="0"/>
        <w:rPr>
          <w:rFonts w:cs="Tahoma"/>
          <w:b/>
          <w:szCs w:val="24"/>
        </w:rPr>
      </w:pPr>
      <w:r>
        <w:rPr>
          <w:rFonts w:cs="Tahoma"/>
          <w:b/>
          <w:szCs w:val="24"/>
        </w:rPr>
        <w:t xml:space="preserve">4 - </w:t>
      </w:r>
      <w:r w:rsidR="00547171" w:rsidRPr="00547171">
        <w:rPr>
          <w:rFonts w:cs="Tahoma"/>
          <w:b/>
          <w:szCs w:val="24"/>
        </w:rPr>
        <w:t xml:space="preserve">Übernahmegründungen: Strukturelle Nachfragelücke, größere Gründungsvorhaben und </w:t>
      </w:r>
    </w:p>
    <w:p w14:paraId="76EF7378" w14:textId="6870D837" w:rsidR="00547171" w:rsidRPr="00547171" w:rsidRDefault="00756329" w:rsidP="00547171">
      <w:pPr>
        <w:rPr>
          <w:rFonts w:cs="Tahoma"/>
          <w:b/>
          <w:szCs w:val="24"/>
        </w:rPr>
      </w:pPr>
      <w:r>
        <w:rPr>
          <w:rFonts w:cs="Tahoma"/>
          <w:b/>
          <w:szCs w:val="24"/>
        </w:rPr>
        <w:t xml:space="preserve">      </w:t>
      </w:r>
      <w:r w:rsidR="00547171" w:rsidRPr="00547171">
        <w:rPr>
          <w:rFonts w:cs="Tahoma"/>
          <w:b/>
          <w:szCs w:val="24"/>
        </w:rPr>
        <w:t>weniger Übernahmen innerhalb der Familie</w:t>
      </w:r>
    </w:p>
    <w:p w14:paraId="5B2DA858" w14:textId="77777777" w:rsidR="00547171" w:rsidRPr="00547171" w:rsidRDefault="00547171" w:rsidP="00547171">
      <w:pPr>
        <w:pStyle w:val="Paragraphedeliste"/>
        <w:numPr>
          <w:ilvl w:val="0"/>
          <w:numId w:val="15"/>
        </w:numPr>
        <w:spacing w:after="160" w:line="259" w:lineRule="auto"/>
        <w:rPr>
          <w:rFonts w:ascii="Corbel" w:hAnsi="Corbel" w:cs="Tahoma"/>
          <w:sz w:val="24"/>
          <w:szCs w:val="24"/>
        </w:rPr>
      </w:pPr>
      <w:r w:rsidRPr="00547171">
        <w:rPr>
          <w:rFonts w:ascii="Corbel" w:hAnsi="Corbel" w:cs="Tahoma"/>
          <w:sz w:val="24"/>
          <w:szCs w:val="24"/>
        </w:rPr>
        <w:t xml:space="preserve">67.000 Übernahmegründungen p.a. in 2019 (2018: 72.000 p.a.). Diesen stehen in den kommenden zwei Jahren 260.000 benötigten Unternehmensnachfolgenden (etwa 7 % der KMU) gegenüber. </w:t>
      </w:r>
    </w:p>
    <w:p w14:paraId="01A02B96" w14:textId="77777777" w:rsidR="00547171" w:rsidRPr="00547171" w:rsidRDefault="00547171" w:rsidP="00547171">
      <w:pPr>
        <w:pStyle w:val="Paragraphedeliste"/>
        <w:numPr>
          <w:ilvl w:val="0"/>
          <w:numId w:val="15"/>
        </w:numPr>
        <w:spacing w:after="160" w:line="259" w:lineRule="auto"/>
        <w:rPr>
          <w:rFonts w:ascii="Corbel" w:hAnsi="Corbel" w:cs="Tahoma"/>
          <w:sz w:val="24"/>
          <w:szCs w:val="24"/>
        </w:rPr>
      </w:pPr>
      <w:r w:rsidRPr="00547171">
        <w:rPr>
          <w:rFonts w:ascii="Corbel" w:hAnsi="Corbel" w:cs="Tahoma"/>
          <w:sz w:val="24"/>
          <w:szCs w:val="24"/>
        </w:rPr>
        <w:t>33 % Rückgang auf 7.800 (2019: 11.600) Übernahmegründungen in den Monaten März bis Mai 2020 konnte bisher nicht nachgeholt werden</w:t>
      </w:r>
    </w:p>
    <w:p w14:paraId="78B4D761" w14:textId="77777777" w:rsidR="00547171" w:rsidRPr="00547171" w:rsidRDefault="00547171" w:rsidP="00547171">
      <w:pPr>
        <w:pStyle w:val="Paragraphedeliste"/>
        <w:numPr>
          <w:ilvl w:val="0"/>
          <w:numId w:val="15"/>
        </w:numPr>
        <w:spacing w:after="160" w:line="259" w:lineRule="auto"/>
        <w:rPr>
          <w:rFonts w:ascii="Corbel" w:hAnsi="Corbel" w:cs="Tahoma"/>
          <w:sz w:val="24"/>
          <w:szCs w:val="24"/>
        </w:rPr>
      </w:pPr>
      <w:r w:rsidRPr="00547171">
        <w:rPr>
          <w:rFonts w:ascii="Corbel" w:hAnsi="Corbel" w:cs="Tahoma"/>
          <w:sz w:val="24"/>
          <w:szCs w:val="24"/>
        </w:rPr>
        <w:t xml:space="preserve">46 % der Übernahmegründer benötigen zwischen 10.000 und 50.000 EUR, 23 % benötigen mehr als 50.000 EUR. </w:t>
      </w:r>
    </w:p>
    <w:p w14:paraId="4CB7A5CA" w14:textId="77777777" w:rsidR="00547171" w:rsidRPr="00547171" w:rsidRDefault="00547171" w:rsidP="00547171">
      <w:pPr>
        <w:pStyle w:val="Paragraphedeliste"/>
        <w:numPr>
          <w:ilvl w:val="0"/>
          <w:numId w:val="15"/>
        </w:numPr>
        <w:spacing w:after="160" w:line="259" w:lineRule="auto"/>
        <w:rPr>
          <w:rFonts w:ascii="Corbel" w:hAnsi="Corbel" w:cs="Tahoma"/>
          <w:sz w:val="24"/>
          <w:szCs w:val="24"/>
        </w:rPr>
      </w:pPr>
      <w:r w:rsidRPr="00547171">
        <w:rPr>
          <w:rFonts w:ascii="Corbel" w:hAnsi="Corbel" w:cs="Tahoma"/>
          <w:sz w:val="24"/>
          <w:szCs w:val="24"/>
        </w:rPr>
        <w:t xml:space="preserve">Im Durchschnitt übernahmen in den Jahren 2016 bis 2019 mit 64 % mehr Männer bestehende Unternehmen und der Anteil der AkademikerInnen lag bei 24 %. </w:t>
      </w:r>
    </w:p>
    <w:p w14:paraId="3C601E02" w14:textId="24E206F1" w:rsidR="00547171" w:rsidRDefault="00547171" w:rsidP="00756329">
      <w:pPr>
        <w:pStyle w:val="Paragraphedeliste"/>
        <w:numPr>
          <w:ilvl w:val="0"/>
          <w:numId w:val="15"/>
        </w:numPr>
        <w:spacing w:after="240" w:line="240" w:lineRule="auto"/>
        <w:ind w:left="714" w:hanging="357"/>
        <w:rPr>
          <w:rFonts w:ascii="Corbel" w:hAnsi="Corbel" w:cs="Tahoma"/>
          <w:sz w:val="24"/>
          <w:szCs w:val="24"/>
        </w:rPr>
      </w:pPr>
      <w:r w:rsidRPr="00547171">
        <w:rPr>
          <w:rFonts w:ascii="Corbel" w:hAnsi="Corbel" w:cs="Tahoma"/>
          <w:sz w:val="24"/>
          <w:szCs w:val="24"/>
        </w:rPr>
        <w:t xml:space="preserve">2019 erfolgten nur 34 % (2016: 41 %) der Übernahmegründungen innerhalb der Familie. Im Durchschnitt waren es in den Jahren 2016 bis 2019 38 %. </w:t>
      </w:r>
    </w:p>
    <w:p w14:paraId="0E311BE1" w14:textId="004DDC59" w:rsidR="005A6526" w:rsidRPr="005A6526" w:rsidRDefault="005A6526" w:rsidP="005A6526">
      <w:pPr>
        <w:spacing w:after="240"/>
        <w:ind w:left="357"/>
        <w:rPr>
          <w:rFonts w:cs="Tahoma"/>
          <w:szCs w:val="24"/>
        </w:rPr>
      </w:pPr>
      <w:r w:rsidRPr="005A6526">
        <w:rPr>
          <w:b/>
          <w:bCs/>
          <w:sz w:val="20"/>
          <w:szCs w:val="20"/>
        </w:rPr>
        <w:t>Quellen: Nachfolge-Monitoring Mittelstand 2020</w:t>
      </w:r>
      <w:r w:rsidR="000A0497">
        <w:rPr>
          <w:b/>
          <w:bCs/>
          <w:sz w:val="20"/>
          <w:szCs w:val="20"/>
        </w:rPr>
        <w:t xml:space="preserve"> (12/2020)</w:t>
      </w:r>
      <w:r w:rsidRPr="005A6526">
        <w:rPr>
          <w:b/>
          <w:bCs/>
          <w:sz w:val="20"/>
          <w:szCs w:val="20"/>
        </w:rPr>
        <w:t>: Gut vorbereitet in die Krise – Corona verschärft Gründungsengpass</w:t>
      </w:r>
      <w:r>
        <w:rPr>
          <w:b/>
          <w:bCs/>
          <w:sz w:val="20"/>
          <w:szCs w:val="20"/>
        </w:rPr>
        <w:t>;</w:t>
      </w:r>
      <w:r w:rsidRPr="005A6526">
        <w:rPr>
          <w:b/>
          <w:bCs/>
          <w:sz w:val="20"/>
          <w:szCs w:val="20"/>
        </w:rPr>
        <w:t xml:space="preserve"> KfW Research Fokus Volkswirtschaft </w:t>
      </w:r>
    </w:p>
    <w:p w14:paraId="11DDCCD4" w14:textId="2C8B6B7B" w:rsidR="00547171" w:rsidRPr="00547171" w:rsidRDefault="00D17989" w:rsidP="00241EFA">
      <w:pPr>
        <w:spacing w:after="0"/>
        <w:ind w:left="266" w:right="-261"/>
        <w:rPr>
          <w:b/>
          <w:szCs w:val="24"/>
        </w:rPr>
      </w:pPr>
      <w:r>
        <w:rPr>
          <w:b/>
          <w:szCs w:val="24"/>
        </w:rPr>
        <w:t xml:space="preserve">5 - </w:t>
      </w:r>
      <w:r w:rsidR="00547171" w:rsidRPr="00547171">
        <w:rPr>
          <w:b/>
          <w:szCs w:val="24"/>
        </w:rPr>
        <w:t>Nachfolgeproblematik durch alte Inhaberstruktur der KMU</w:t>
      </w:r>
      <w:r w:rsidR="00547171" w:rsidRPr="00547171">
        <w:rPr>
          <w:rFonts w:cs="Tahoma"/>
          <w:b/>
          <w:szCs w:val="24"/>
        </w:rPr>
        <w:t xml:space="preserve"> ist in </w:t>
      </w:r>
      <w:r w:rsidR="00547171" w:rsidRPr="00547171">
        <w:rPr>
          <w:b/>
          <w:szCs w:val="24"/>
        </w:rPr>
        <w:t>Hessen dringlicher</w:t>
      </w:r>
      <w:r>
        <w:rPr>
          <w:b/>
          <w:szCs w:val="24"/>
        </w:rPr>
        <w:t>:</w:t>
      </w:r>
    </w:p>
    <w:p w14:paraId="05078B5B" w14:textId="305314FC" w:rsidR="00547171" w:rsidRPr="00547171" w:rsidRDefault="00756329" w:rsidP="00547171">
      <w:pPr>
        <w:ind w:left="266" w:right="-262"/>
        <w:rPr>
          <w:b/>
          <w:szCs w:val="24"/>
        </w:rPr>
      </w:pPr>
      <w:r>
        <w:rPr>
          <w:b/>
          <w:szCs w:val="24"/>
        </w:rPr>
        <w:t xml:space="preserve">      </w:t>
      </w:r>
      <w:r w:rsidR="00547171" w:rsidRPr="00547171">
        <w:rPr>
          <w:b/>
          <w:szCs w:val="24"/>
        </w:rPr>
        <w:t>49 % der UnternehmerInnen haben bislang keine Unternehmensnachfolgepläne</w:t>
      </w:r>
    </w:p>
    <w:p w14:paraId="13DCB325" w14:textId="77777777" w:rsidR="00547171" w:rsidRPr="00D4161A" w:rsidRDefault="00547171" w:rsidP="00547171">
      <w:pPr>
        <w:pStyle w:val="Paragraphedeliste"/>
        <w:numPr>
          <w:ilvl w:val="0"/>
          <w:numId w:val="17"/>
        </w:numPr>
        <w:spacing w:after="160" w:line="259" w:lineRule="auto"/>
        <w:rPr>
          <w:rFonts w:ascii="Corbel" w:hAnsi="Corbel" w:cs="Tahoma"/>
          <w:color w:val="D60093"/>
          <w:sz w:val="24"/>
          <w:szCs w:val="24"/>
        </w:rPr>
      </w:pPr>
      <w:r w:rsidRPr="00D4161A">
        <w:rPr>
          <w:rFonts w:ascii="Corbel" w:hAnsi="Corbel"/>
          <w:color w:val="D60093"/>
          <w:sz w:val="24"/>
          <w:szCs w:val="24"/>
        </w:rPr>
        <w:t xml:space="preserve">51 Jahre (50 Jahre) ist das Durchschnittsalter der Frauen und Männer mit Unternehmensbesitz </w:t>
      </w:r>
    </w:p>
    <w:p w14:paraId="14D15954" w14:textId="77777777" w:rsidR="00547171" w:rsidRPr="00547171" w:rsidRDefault="00547171" w:rsidP="00547171">
      <w:pPr>
        <w:pStyle w:val="Paragraphedeliste"/>
        <w:numPr>
          <w:ilvl w:val="0"/>
          <w:numId w:val="16"/>
        </w:numPr>
        <w:spacing w:after="160" w:line="259" w:lineRule="auto"/>
        <w:rPr>
          <w:rFonts w:ascii="Corbel" w:hAnsi="Corbel" w:cs="Tahoma"/>
          <w:sz w:val="24"/>
          <w:szCs w:val="24"/>
        </w:rPr>
      </w:pPr>
      <w:r w:rsidRPr="00547171">
        <w:rPr>
          <w:rFonts w:ascii="Corbel" w:hAnsi="Corbel"/>
          <w:sz w:val="24"/>
          <w:szCs w:val="24"/>
        </w:rPr>
        <w:t>Rund 60 % der UnternehmerInnen sind älter als 50 Jahre</w:t>
      </w:r>
    </w:p>
    <w:p w14:paraId="3E5C988C" w14:textId="357D7CBD" w:rsidR="00547171" w:rsidRPr="00547171" w:rsidRDefault="00547171" w:rsidP="00547171">
      <w:pPr>
        <w:pStyle w:val="Paragraphedeliste"/>
        <w:numPr>
          <w:ilvl w:val="0"/>
          <w:numId w:val="16"/>
        </w:numPr>
        <w:spacing w:after="160" w:line="259" w:lineRule="auto"/>
        <w:rPr>
          <w:rFonts w:ascii="Corbel" w:hAnsi="Corbel" w:cs="Tahoma"/>
          <w:sz w:val="24"/>
          <w:szCs w:val="24"/>
        </w:rPr>
      </w:pPr>
      <w:r w:rsidRPr="00547171">
        <w:rPr>
          <w:rFonts w:ascii="Corbel" w:hAnsi="Corbel"/>
          <w:sz w:val="24"/>
          <w:szCs w:val="24"/>
        </w:rPr>
        <w:t>17 % (</w:t>
      </w:r>
      <w:r w:rsidR="00EB33EA">
        <w:rPr>
          <w:rFonts w:ascii="Corbel" w:hAnsi="Corbel"/>
          <w:sz w:val="24"/>
          <w:szCs w:val="24"/>
        </w:rPr>
        <w:t xml:space="preserve">Deutschland: </w:t>
      </w:r>
      <w:r w:rsidRPr="00547171">
        <w:rPr>
          <w:rFonts w:ascii="Corbel" w:hAnsi="Corbel"/>
          <w:sz w:val="24"/>
          <w:szCs w:val="24"/>
        </w:rPr>
        <w:t xml:space="preserve">14 %) der MittelständlerInnen übergeben in den 3 Jahren an eine/n </w:t>
      </w:r>
      <w:proofErr w:type="spellStart"/>
      <w:r w:rsidRPr="00547171">
        <w:rPr>
          <w:rFonts w:ascii="Corbel" w:hAnsi="Corbel"/>
          <w:sz w:val="24"/>
          <w:szCs w:val="24"/>
        </w:rPr>
        <w:t>NachfolgerIn</w:t>
      </w:r>
      <w:proofErr w:type="spellEnd"/>
      <w:r w:rsidRPr="00547171">
        <w:rPr>
          <w:rFonts w:ascii="Corbel" w:hAnsi="Corbel"/>
          <w:sz w:val="24"/>
          <w:szCs w:val="24"/>
        </w:rPr>
        <w:t xml:space="preserve">  </w:t>
      </w:r>
    </w:p>
    <w:p w14:paraId="01551312" w14:textId="15BAF069" w:rsidR="00547171" w:rsidRPr="00547171" w:rsidRDefault="00547171" w:rsidP="00547171">
      <w:pPr>
        <w:pStyle w:val="Paragraphedeliste"/>
        <w:numPr>
          <w:ilvl w:val="0"/>
          <w:numId w:val="16"/>
        </w:numPr>
        <w:spacing w:after="160" w:line="259" w:lineRule="auto"/>
        <w:rPr>
          <w:rFonts w:ascii="Corbel" w:hAnsi="Corbel" w:cs="Tahoma"/>
          <w:sz w:val="24"/>
          <w:szCs w:val="24"/>
        </w:rPr>
      </w:pPr>
      <w:r w:rsidRPr="00547171">
        <w:rPr>
          <w:rFonts w:ascii="Corbel" w:hAnsi="Corbel"/>
          <w:sz w:val="24"/>
          <w:szCs w:val="24"/>
        </w:rPr>
        <w:t>49 % (</w:t>
      </w:r>
      <w:r w:rsidR="00EB33EA">
        <w:rPr>
          <w:rFonts w:ascii="Corbel" w:hAnsi="Corbel"/>
          <w:sz w:val="24"/>
          <w:szCs w:val="24"/>
        </w:rPr>
        <w:t xml:space="preserve">Deutschland: </w:t>
      </w:r>
      <w:r w:rsidRPr="00547171">
        <w:rPr>
          <w:rFonts w:ascii="Corbel" w:hAnsi="Corbel"/>
          <w:sz w:val="24"/>
          <w:szCs w:val="24"/>
        </w:rPr>
        <w:t xml:space="preserve">51 %) der UnternehmerInnen haben bislang keine Unternehmensnachfolgepläne </w:t>
      </w:r>
    </w:p>
    <w:p w14:paraId="37C955B5" w14:textId="4CE43DE6" w:rsidR="00547171" w:rsidRPr="00EB33EA" w:rsidRDefault="00547171" w:rsidP="00547171">
      <w:pPr>
        <w:pStyle w:val="Paragraphedeliste"/>
        <w:numPr>
          <w:ilvl w:val="0"/>
          <w:numId w:val="16"/>
        </w:numPr>
        <w:spacing w:after="160" w:line="259" w:lineRule="auto"/>
        <w:rPr>
          <w:rFonts w:ascii="Corbel" w:hAnsi="Corbel" w:cs="Tahoma"/>
          <w:color w:val="D60093"/>
          <w:sz w:val="24"/>
          <w:szCs w:val="24"/>
        </w:rPr>
      </w:pPr>
      <w:r w:rsidRPr="00EB33EA">
        <w:rPr>
          <w:rFonts w:ascii="Corbel" w:hAnsi="Corbel"/>
          <w:color w:val="D60093"/>
          <w:sz w:val="24"/>
          <w:szCs w:val="24"/>
        </w:rPr>
        <w:t>15 % Frauengeführte KMU (</w:t>
      </w:r>
      <w:r w:rsidR="00EB33EA" w:rsidRPr="00EB33EA">
        <w:rPr>
          <w:rFonts w:ascii="Corbel" w:hAnsi="Corbel"/>
          <w:color w:val="D60093"/>
          <w:sz w:val="24"/>
          <w:szCs w:val="24"/>
        </w:rPr>
        <w:t xml:space="preserve">Deutschland: </w:t>
      </w:r>
      <w:r w:rsidRPr="00EB33EA">
        <w:rPr>
          <w:rFonts w:ascii="Corbel" w:hAnsi="Corbel"/>
          <w:color w:val="D60093"/>
          <w:sz w:val="24"/>
          <w:szCs w:val="24"/>
        </w:rPr>
        <w:t>18 %)</w:t>
      </w:r>
    </w:p>
    <w:p w14:paraId="41E9D520" w14:textId="0E1074C7" w:rsidR="00547171" w:rsidRPr="00EB33EA" w:rsidRDefault="00547171" w:rsidP="00547171">
      <w:pPr>
        <w:pStyle w:val="Paragraphedeliste"/>
        <w:numPr>
          <w:ilvl w:val="0"/>
          <w:numId w:val="16"/>
        </w:numPr>
        <w:spacing w:after="160" w:line="259" w:lineRule="auto"/>
        <w:rPr>
          <w:rFonts w:ascii="Corbel" w:hAnsi="Corbel" w:cs="Tahoma"/>
          <w:sz w:val="24"/>
          <w:szCs w:val="24"/>
        </w:rPr>
      </w:pPr>
      <w:r w:rsidRPr="00EB33EA">
        <w:rPr>
          <w:rFonts w:ascii="Corbel" w:hAnsi="Corbel"/>
          <w:sz w:val="24"/>
          <w:szCs w:val="24"/>
        </w:rPr>
        <w:t>7 % Migrantengeführte KMU (</w:t>
      </w:r>
      <w:r w:rsidR="00EB33EA" w:rsidRPr="00EB33EA">
        <w:rPr>
          <w:rFonts w:ascii="Corbel" w:hAnsi="Corbel"/>
          <w:sz w:val="24"/>
          <w:szCs w:val="24"/>
        </w:rPr>
        <w:t xml:space="preserve">Deutschland: </w:t>
      </w:r>
      <w:r w:rsidRPr="00EB33EA">
        <w:rPr>
          <w:rFonts w:ascii="Corbel" w:hAnsi="Corbel"/>
          <w:sz w:val="24"/>
          <w:szCs w:val="24"/>
        </w:rPr>
        <w:t>6 %)</w:t>
      </w:r>
    </w:p>
    <w:p w14:paraId="5BDF0069" w14:textId="77777777" w:rsidR="00547171" w:rsidRPr="00547171" w:rsidRDefault="00547171" w:rsidP="00547171">
      <w:pPr>
        <w:ind w:left="360"/>
        <w:rPr>
          <w:rFonts w:cs="Tahoma"/>
          <w:b/>
          <w:bCs/>
          <w:szCs w:val="24"/>
        </w:rPr>
      </w:pPr>
      <w:r w:rsidRPr="00547171">
        <w:rPr>
          <w:rFonts w:cs="Tahoma"/>
          <w:b/>
          <w:bCs/>
          <w:szCs w:val="24"/>
        </w:rPr>
        <w:t>Branchen</w:t>
      </w:r>
    </w:p>
    <w:p w14:paraId="151FAB0B" w14:textId="77777777" w:rsidR="00547171" w:rsidRPr="00547171" w:rsidRDefault="00547171" w:rsidP="00547171">
      <w:pPr>
        <w:pStyle w:val="Paragraphedeliste"/>
        <w:numPr>
          <w:ilvl w:val="0"/>
          <w:numId w:val="16"/>
        </w:numPr>
        <w:spacing w:after="160" w:line="259" w:lineRule="auto"/>
        <w:rPr>
          <w:rFonts w:ascii="Corbel" w:hAnsi="Corbel" w:cs="Tahoma"/>
          <w:sz w:val="24"/>
          <w:szCs w:val="24"/>
        </w:rPr>
      </w:pPr>
      <w:r w:rsidRPr="00547171">
        <w:rPr>
          <w:rFonts w:ascii="Corbel" w:hAnsi="Corbel" w:cs="Tahoma"/>
          <w:sz w:val="24"/>
          <w:szCs w:val="24"/>
        </w:rPr>
        <w:t>45 % Wissensintensive Dienstleistungen formen das wesentliche Betätigungsfeld des hessischen Mittelstands, gefolgt von 38 % Sonstige Dienstleistungen</w:t>
      </w:r>
    </w:p>
    <w:p w14:paraId="7AF171E0" w14:textId="77777777" w:rsidR="00547171" w:rsidRPr="00547171" w:rsidRDefault="00547171" w:rsidP="00547171">
      <w:pPr>
        <w:pStyle w:val="Paragraphedeliste"/>
        <w:numPr>
          <w:ilvl w:val="0"/>
          <w:numId w:val="16"/>
        </w:numPr>
        <w:spacing w:after="160" w:line="259" w:lineRule="auto"/>
        <w:rPr>
          <w:rFonts w:ascii="Corbel" w:hAnsi="Corbel" w:cs="Tahoma"/>
          <w:sz w:val="24"/>
          <w:szCs w:val="24"/>
        </w:rPr>
      </w:pPr>
      <w:r w:rsidRPr="00547171">
        <w:rPr>
          <w:rFonts w:ascii="Corbel" w:hAnsi="Corbel"/>
          <w:sz w:val="24"/>
          <w:szCs w:val="24"/>
        </w:rPr>
        <w:t xml:space="preserve">Bundesweit plant jedes fünfte KMU der Wissensintensiven Dienstleistungen wegen der anhaltenden Corona-Krise einen Beschäftigungsabbau (versus 16 % im gesamten Mittelstand) </w:t>
      </w:r>
    </w:p>
    <w:p w14:paraId="1BAA9703" w14:textId="77777777" w:rsidR="00547171" w:rsidRPr="00547171" w:rsidRDefault="00547171" w:rsidP="000E12C2">
      <w:pPr>
        <w:pStyle w:val="Paragraphedeliste"/>
        <w:numPr>
          <w:ilvl w:val="0"/>
          <w:numId w:val="16"/>
        </w:numPr>
        <w:spacing w:after="240" w:line="240" w:lineRule="auto"/>
        <w:ind w:left="714" w:hanging="357"/>
        <w:contextualSpacing w:val="0"/>
        <w:rPr>
          <w:rFonts w:ascii="Corbel" w:hAnsi="Corbel" w:cs="Tahoma"/>
          <w:sz w:val="24"/>
          <w:szCs w:val="24"/>
        </w:rPr>
      </w:pPr>
      <w:r w:rsidRPr="00547171">
        <w:rPr>
          <w:rFonts w:ascii="Corbel" w:hAnsi="Corbel" w:cs="Tahoma"/>
          <w:sz w:val="24"/>
          <w:szCs w:val="24"/>
        </w:rPr>
        <w:t xml:space="preserve">81 % der Betriebe in Hessen führen weniger als 5 vollzeitäquivalente Beschäftigte </w:t>
      </w:r>
    </w:p>
    <w:p w14:paraId="38884BDD" w14:textId="19513192" w:rsidR="00547171" w:rsidRPr="00241EFA" w:rsidRDefault="00547171" w:rsidP="00756329">
      <w:pPr>
        <w:jc w:val="left"/>
        <w:rPr>
          <w:b/>
          <w:bCs/>
          <w:sz w:val="20"/>
          <w:szCs w:val="20"/>
        </w:rPr>
      </w:pPr>
      <w:r w:rsidRPr="00241EFA">
        <w:rPr>
          <w:b/>
          <w:bCs/>
          <w:sz w:val="20"/>
          <w:szCs w:val="20"/>
        </w:rPr>
        <w:t>Quelle</w:t>
      </w:r>
      <w:r w:rsidR="00117DE1">
        <w:rPr>
          <w:b/>
          <w:bCs/>
          <w:sz w:val="20"/>
          <w:szCs w:val="20"/>
        </w:rPr>
        <w:t>n</w:t>
      </w:r>
      <w:r w:rsidR="005A6526">
        <w:rPr>
          <w:b/>
          <w:bCs/>
          <w:sz w:val="20"/>
          <w:szCs w:val="20"/>
        </w:rPr>
        <w:t>:</w:t>
      </w:r>
      <w:r w:rsidRPr="00241EFA">
        <w:rPr>
          <w:b/>
          <w:bCs/>
          <w:sz w:val="20"/>
          <w:szCs w:val="20"/>
        </w:rPr>
        <w:t xml:space="preserve"> KfW-Mittelstandsatlas 2018</w:t>
      </w:r>
      <w:r w:rsidR="00117DE1">
        <w:rPr>
          <w:b/>
          <w:bCs/>
          <w:sz w:val="20"/>
          <w:szCs w:val="20"/>
        </w:rPr>
        <w:t>;</w:t>
      </w:r>
      <w:r w:rsidR="005A6526">
        <w:rPr>
          <w:b/>
          <w:bCs/>
          <w:sz w:val="20"/>
          <w:szCs w:val="20"/>
        </w:rPr>
        <w:t xml:space="preserve"> KfW Mittelstand</w:t>
      </w:r>
      <w:r w:rsidR="004735CF">
        <w:rPr>
          <w:b/>
          <w:bCs/>
          <w:sz w:val="20"/>
          <w:szCs w:val="20"/>
        </w:rPr>
        <w:t>s</w:t>
      </w:r>
      <w:r w:rsidR="005A6526">
        <w:rPr>
          <w:b/>
          <w:bCs/>
          <w:sz w:val="20"/>
          <w:szCs w:val="20"/>
        </w:rPr>
        <w:t>panel 2020</w:t>
      </w:r>
    </w:p>
    <w:p w14:paraId="5FD323F1" w14:textId="77777777" w:rsidR="00547171" w:rsidRPr="00547171" w:rsidRDefault="00547171" w:rsidP="00547171">
      <w:pPr>
        <w:rPr>
          <w:szCs w:val="24"/>
        </w:rPr>
      </w:pPr>
    </w:p>
    <w:p w14:paraId="3F1E7DB5" w14:textId="77777777" w:rsidR="00756329" w:rsidRDefault="00756329">
      <w:pPr>
        <w:jc w:val="left"/>
        <w:rPr>
          <w:b/>
          <w:szCs w:val="24"/>
        </w:rPr>
      </w:pPr>
      <w:r>
        <w:rPr>
          <w:b/>
          <w:szCs w:val="24"/>
        </w:rPr>
        <w:br w:type="page"/>
      </w:r>
    </w:p>
    <w:p w14:paraId="38FE13BD" w14:textId="77777777" w:rsidR="00756329" w:rsidRDefault="00756329" w:rsidP="00547171">
      <w:pPr>
        <w:rPr>
          <w:b/>
          <w:szCs w:val="24"/>
        </w:rPr>
      </w:pPr>
    </w:p>
    <w:p w14:paraId="1D323711" w14:textId="0FC94F90" w:rsidR="00D17989" w:rsidRDefault="00D17989" w:rsidP="00547171">
      <w:pPr>
        <w:rPr>
          <w:b/>
          <w:szCs w:val="24"/>
        </w:rPr>
      </w:pPr>
      <w:r>
        <w:rPr>
          <w:b/>
          <w:szCs w:val="24"/>
        </w:rPr>
        <w:t xml:space="preserve">6 - </w:t>
      </w:r>
      <w:r w:rsidR="00547171" w:rsidRPr="00547171">
        <w:rPr>
          <w:b/>
          <w:szCs w:val="24"/>
        </w:rPr>
        <w:t xml:space="preserve">Potenzial der „unternehmerischen Mobilisierung“ bei den Frauen vorhanden </w:t>
      </w:r>
    </w:p>
    <w:p w14:paraId="5B6E1B51" w14:textId="07DC613F" w:rsidR="00547171" w:rsidRPr="00547171" w:rsidRDefault="00D17989" w:rsidP="00547171">
      <w:pPr>
        <w:rPr>
          <w:szCs w:val="24"/>
        </w:rPr>
      </w:pPr>
      <w:r w:rsidRPr="00D17989">
        <w:rPr>
          <w:bCs/>
          <w:szCs w:val="24"/>
        </w:rPr>
        <w:t>Die</w:t>
      </w:r>
      <w:r>
        <w:rPr>
          <w:b/>
          <w:szCs w:val="24"/>
        </w:rPr>
        <w:t xml:space="preserve"> </w:t>
      </w:r>
      <w:proofErr w:type="spellStart"/>
      <w:r w:rsidR="00547171" w:rsidRPr="00D17989">
        <w:rPr>
          <w:bCs/>
          <w:szCs w:val="24"/>
        </w:rPr>
        <w:t>Selbständigenquote</w:t>
      </w:r>
      <w:proofErr w:type="spellEnd"/>
      <w:r w:rsidR="00547171" w:rsidRPr="00D17989">
        <w:rPr>
          <w:bCs/>
          <w:szCs w:val="24"/>
        </w:rPr>
        <w:t xml:space="preserve"> der Frauen 2018 in Hessen </w:t>
      </w:r>
      <w:r>
        <w:rPr>
          <w:bCs/>
          <w:szCs w:val="24"/>
        </w:rPr>
        <w:t xml:space="preserve">liegt </w:t>
      </w:r>
      <w:r w:rsidR="00547171" w:rsidRPr="00D17989">
        <w:rPr>
          <w:bCs/>
          <w:szCs w:val="24"/>
        </w:rPr>
        <w:t xml:space="preserve">anteilsmäßig hinter der männlichen </w:t>
      </w:r>
      <w:proofErr w:type="spellStart"/>
      <w:r w:rsidR="00547171" w:rsidRPr="00D17989">
        <w:rPr>
          <w:bCs/>
          <w:szCs w:val="24"/>
        </w:rPr>
        <w:t>Selbständigenquote</w:t>
      </w:r>
      <w:proofErr w:type="spellEnd"/>
      <w:r>
        <w:rPr>
          <w:bCs/>
          <w:szCs w:val="24"/>
        </w:rPr>
        <w:t xml:space="preserve">. Der </w:t>
      </w:r>
      <w:r w:rsidR="00547171" w:rsidRPr="00547171">
        <w:rPr>
          <w:szCs w:val="24"/>
        </w:rPr>
        <w:t>Anteil der Selbständigen an allen Erwerbstätigen und Indikator für das Ausmaß der „unternehmerischen Mobilisierung“</w:t>
      </w:r>
      <w:r>
        <w:rPr>
          <w:szCs w:val="24"/>
        </w:rPr>
        <w:t>.</w:t>
      </w:r>
      <w:r w:rsidR="00547171" w:rsidRPr="00547171">
        <w:rPr>
          <w:szCs w:val="24"/>
        </w:rPr>
        <w:t xml:space="preserve"> </w:t>
      </w:r>
    </w:p>
    <w:p w14:paraId="2A1AD15D" w14:textId="77777777" w:rsidR="00547171" w:rsidRPr="00D4161A" w:rsidRDefault="00547171" w:rsidP="00547171">
      <w:pPr>
        <w:pStyle w:val="Paragraphedeliste"/>
        <w:numPr>
          <w:ilvl w:val="0"/>
          <w:numId w:val="18"/>
        </w:numPr>
        <w:spacing w:after="160" w:line="259" w:lineRule="auto"/>
        <w:rPr>
          <w:rFonts w:ascii="Corbel" w:hAnsi="Corbel"/>
          <w:color w:val="D60093"/>
          <w:sz w:val="24"/>
          <w:szCs w:val="24"/>
        </w:rPr>
      </w:pPr>
      <w:r w:rsidRPr="00D4161A">
        <w:rPr>
          <w:rFonts w:ascii="Corbel" w:hAnsi="Corbel"/>
          <w:color w:val="D60093"/>
          <w:sz w:val="24"/>
          <w:szCs w:val="24"/>
        </w:rPr>
        <w:t>6,8 % der weiblichen Erwerbstätigen sind selbständig</w:t>
      </w:r>
    </w:p>
    <w:p w14:paraId="61DE9594" w14:textId="30C4E241" w:rsidR="00547171" w:rsidRDefault="00547171" w:rsidP="005A6526">
      <w:pPr>
        <w:pStyle w:val="Paragraphedeliste"/>
        <w:numPr>
          <w:ilvl w:val="0"/>
          <w:numId w:val="18"/>
        </w:numPr>
        <w:spacing w:after="360" w:line="240" w:lineRule="auto"/>
        <w:ind w:left="714" w:hanging="357"/>
        <w:contextualSpacing w:val="0"/>
        <w:rPr>
          <w:rFonts w:ascii="Corbel" w:hAnsi="Corbel"/>
          <w:sz w:val="24"/>
          <w:szCs w:val="24"/>
        </w:rPr>
      </w:pPr>
      <w:r w:rsidRPr="00547171">
        <w:rPr>
          <w:rFonts w:ascii="Corbel" w:hAnsi="Corbel"/>
          <w:sz w:val="24"/>
          <w:szCs w:val="24"/>
        </w:rPr>
        <w:t>12,5, % der männlichen Erwerbstätigen sind selbständig</w:t>
      </w:r>
    </w:p>
    <w:p w14:paraId="5B8EC598" w14:textId="13C629B7" w:rsidR="00547171" w:rsidRPr="00547171" w:rsidRDefault="00D17989" w:rsidP="008726F3">
      <w:pPr>
        <w:jc w:val="left"/>
        <w:rPr>
          <w:b/>
          <w:szCs w:val="24"/>
        </w:rPr>
      </w:pPr>
      <w:r>
        <w:rPr>
          <w:b/>
          <w:szCs w:val="24"/>
        </w:rPr>
        <w:t xml:space="preserve">7 - </w:t>
      </w:r>
      <w:r w:rsidR="00547171" w:rsidRPr="00547171">
        <w:rPr>
          <w:b/>
          <w:szCs w:val="24"/>
        </w:rPr>
        <w:t>Unternehmensnachfolgen und Übernahmegründungen in Hessen</w:t>
      </w:r>
    </w:p>
    <w:p w14:paraId="0F3F4564" w14:textId="77777777" w:rsidR="00547171" w:rsidRPr="00547171" w:rsidRDefault="00547171" w:rsidP="00547171">
      <w:pPr>
        <w:pStyle w:val="Paragraphedeliste"/>
        <w:numPr>
          <w:ilvl w:val="0"/>
          <w:numId w:val="20"/>
        </w:numPr>
        <w:spacing w:after="160" w:line="259" w:lineRule="auto"/>
        <w:rPr>
          <w:rFonts w:ascii="Corbel" w:hAnsi="Corbel"/>
          <w:sz w:val="24"/>
          <w:szCs w:val="24"/>
        </w:rPr>
      </w:pPr>
      <w:r w:rsidRPr="00547171">
        <w:rPr>
          <w:rFonts w:ascii="Corbel" w:hAnsi="Corbel"/>
          <w:sz w:val="24"/>
          <w:szCs w:val="24"/>
        </w:rPr>
        <w:t>2019 erfolgten 2.441 Anzeigen (4,1 %) der Gewerbeanmeldungen als Existenzgründung eines Unternehmens durch Erbfolge, Kauf oder Pacht.  Ein Indiz für die strukturelle Nachfragelücke ist der Rückgang der Anzeigen in einem Jahrzehnt um 3.183 (Hessen: -23,3 %, Deutschland: -31,2 %).</w:t>
      </w:r>
    </w:p>
    <w:p w14:paraId="0955D9C2" w14:textId="77777777" w:rsidR="00547171" w:rsidRPr="00241EFA" w:rsidRDefault="00547171" w:rsidP="00547171">
      <w:pPr>
        <w:pStyle w:val="Paragraphedeliste"/>
        <w:numPr>
          <w:ilvl w:val="0"/>
          <w:numId w:val="20"/>
        </w:numPr>
        <w:spacing w:after="160" w:line="259" w:lineRule="auto"/>
        <w:rPr>
          <w:rFonts w:ascii="Corbel" w:hAnsi="Corbel"/>
          <w:color w:val="D60093"/>
          <w:sz w:val="24"/>
          <w:szCs w:val="24"/>
        </w:rPr>
      </w:pPr>
      <w:r w:rsidRPr="00241EFA">
        <w:rPr>
          <w:rFonts w:ascii="Corbel" w:hAnsi="Corbel"/>
          <w:color w:val="D60093"/>
          <w:sz w:val="24"/>
          <w:szCs w:val="24"/>
        </w:rPr>
        <w:t>33,3 % der hessischen gewerblichen Existenzgründungen in 2019 entfielen auf Frauen.</w:t>
      </w:r>
    </w:p>
    <w:p w14:paraId="3D8FA571" w14:textId="77777777" w:rsidR="00547171" w:rsidRPr="00241EFA" w:rsidRDefault="00547171" w:rsidP="00547171">
      <w:pPr>
        <w:pStyle w:val="Paragraphedeliste"/>
        <w:numPr>
          <w:ilvl w:val="0"/>
          <w:numId w:val="20"/>
        </w:numPr>
        <w:spacing w:after="160" w:line="259" w:lineRule="auto"/>
        <w:rPr>
          <w:rFonts w:ascii="Corbel" w:hAnsi="Corbel"/>
          <w:color w:val="D60093"/>
          <w:sz w:val="24"/>
          <w:szCs w:val="24"/>
        </w:rPr>
      </w:pPr>
      <w:r w:rsidRPr="00241EFA">
        <w:rPr>
          <w:rFonts w:ascii="Corbel" w:hAnsi="Corbel"/>
          <w:color w:val="D60093"/>
          <w:sz w:val="24"/>
          <w:szCs w:val="24"/>
        </w:rPr>
        <w:t xml:space="preserve">Im gesamten Beobachtungszeitraum 2009 bis 2019 lag dieser Anteil in Hessen überwiegend leicht über der 30 %-Marke, im Bundesdurchschnitt größtenteils etwas darunter. </w:t>
      </w:r>
    </w:p>
    <w:p w14:paraId="5F894325" w14:textId="77777777" w:rsidR="00547171" w:rsidRPr="00241EFA" w:rsidRDefault="00547171" w:rsidP="00547171">
      <w:pPr>
        <w:pStyle w:val="Paragraphedeliste"/>
        <w:numPr>
          <w:ilvl w:val="0"/>
          <w:numId w:val="19"/>
        </w:numPr>
        <w:spacing w:after="160" w:line="259" w:lineRule="auto"/>
        <w:rPr>
          <w:rFonts w:ascii="Corbel" w:hAnsi="Corbel"/>
          <w:color w:val="D60093"/>
          <w:sz w:val="24"/>
          <w:szCs w:val="24"/>
        </w:rPr>
      </w:pPr>
      <w:r w:rsidRPr="00241EFA">
        <w:rPr>
          <w:rFonts w:ascii="Corbel" w:hAnsi="Corbel"/>
          <w:color w:val="D60093"/>
          <w:sz w:val="24"/>
          <w:szCs w:val="24"/>
        </w:rPr>
        <w:t xml:space="preserve">2o19 wurden bundesweit 36 % der Gründungen von Frauen </w:t>
      </w:r>
      <w:proofErr w:type="gramStart"/>
      <w:r w:rsidRPr="00241EFA">
        <w:rPr>
          <w:rFonts w:ascii="Corbel" w:hAnsi="Corbel"/>
          <w:color w:val="D60093"/>
          <w:sz w:val="24"/>
          <w:szCs w:val="24"/>
        </w:rPr>
        <w:t>vollzogen.*</w:t>
      </w:r>
      <w:proofErr w:type="gramEnd"/>
    </w:p>
    <w:p w14:paraId="2FE1BEC1" w14:textId="77777777" w:rsidR="00547171" w:rsidRPr="00241EFA" w:rsidRDefault="00547171" w:rsidP="00547171">
      <w:pPr>
        <w:pStyle w:val="Paragraphedeliste"/>
        <w:rPr>
          <w:rFonts w:ascii="Corbel" w:hAnsi="Corbel"/>
          <w:sz w:val="20"/>
          <w:szCs w:val="20"/>
        </w:rPr>
      </w:pPr>
    </w:p>
    <w:p w14:paraId="025FC390" w14:textId="2880F254" w:rsidR="00547171" w:rsidRDefault="00547171" w:rsidP="00547171">
      <w:pPr>
        <w:rPr>
          <w:color w:val="000000" w:themeColor="text1"/>
          <w:sz w:val="20"/>
          <w:szCs w:val="20"/>
          <w:shd w:val="clear" w:color="auto" w:fill="FFFFFF"/>
        </w:rPr>
      </w:pPr>
      <w:r w:rsidRPr="00241EFA">
        <w:rPr>
          <w:color w:val="000000" w:themeColor="text1"/>
          <w:sz w:val="20"/>
          <w:szCs w:val="20"/>
          <w:shd w:val="clear" w:color="auto" w:fill="FFFFFF"/>
        </w:rPr>
        <w:t>*Als Gründer</w:t>
      </w:r>
      <w:r w:rsidR="00241EFA" w:rsidRPr="00241EFA">
        <w:rPr>
          <w:color w:val="000000" w:themeColor="text1"/>
          <w:sz w:val="20"/>
          <w:szCs w:val="20"/>
          <w:shd w:val="clear" w:color="auto" w:fill="FFFFFF"/>
        </w:rPr>
        <w:t>i</w:t>
      </w:r>
      <w:r w:rsidRPr="00241EFA">
        <w:rPr>
          <w:color w:val="000000" w:themeColor="text1"/>
          <w:sz w:val="20"/>
          <w:szCs w:val="20"/>
          <w:shd w:val="clear" w:color="auto" w:fill="FFFFFF"/>
        </w:rPr>
        <w:t>nnen werden laut Quelle „Statista 2021“ Personen im Alter von 18 bis 64 Jahren erfasst, die innerhalb von 12 Monaten vor dem Interviewtermin eine gewerbliche oder freiberufliche Selbstständigkeit im Voll- oder Nebenerwerb begonnen haben.</w:t>
      </w:r>
    </w:p>
    <w:p w14:paraId="75DD48F8" w14:textId="454544BC" w:rsidR="00117DE1" w:rsidRDefault="00117DE1" w:rsidP="00547171">
      <w:pPr>
        <w:rPr>
          <w:color w:val="000000" w:themeColor="text1"/>
          <w:sz w:val="20"/>
          <w:szCs w:val="20"/>
          <w:shd w:val="clear" w:color="auto" w:fill="FFFFFF"/>
        </w:rPr>
      </w:pPr>
    </w:p>
    <w:p w14:paraId="0D6AB6D8" w14:textId="77777777" w:rsidR="00117DE1" w:rsidRPr="00241EFA" w:rsidRDefault="00117DE1" w:rsidP="00547171">
      <w:pPr>
        <w:rPr>
          <w:color w:val="000000" w:themeColor="text1"/>
          <w:sz w:val="20"/>
          <w:szCs w:val="20"/>
        </w:rPr>
      </w:pPr>
    </w:p>
    <w:p w14:paraId="5CAD7D5E" w14:textId="40F595CF" w:rsidR="009A1AB3" w:rsidRDefault="00D17989" w:rsidP="00117DE1">
      <w:pPr>
        <w:spacing w:after="360"/>
        <w:jc w:val="left"/>
        <w:rPr>
          <w:rFonts w:cs="Tahoma"/>
          <w:b/>
          <w:bCs/>
          <w:sz w:val="20"/>
          <w:szCs w:val="20"/>
        </w:rPr>
      </w:pPr>
      <w:r w:rsidRPr="00241EFA">
        <w:rPr>
          <w:b/>
          <w:bCs/>
          <w:sz w:val="20"/>
          <w:szCs w:val="20"/>
        </w:rPr>
        <w:t>Quelle</w:t>
      </w:r>
      <w:r>
        <w:rPr>
          <w:b/>
          <w:bCs/>
          <w:sz w:val="20"/>
          <w:szCs w:val="20"/>
        </w:rPr>
        <w:t>n</w:t>
      </w:r>
      <w:r w:rsidRPr="00241EFA">
        <w:rPr>
          <w:b/>
          <w:bCs/>
          <w:sz w:val="20"/>
          <w:szCs w:val="20"/>
        </w:rPr>
        <w:t>: Hessischer Mittelstandsbericht 2020</w:t>
      </w:r>
      <w:r w:rsidR="00117DE1">
        <w:rPr>
          <w:b/>
          <w:bCs/>
          <w:sz w:val="20"/>
          <w:szCs w:val="20"/>
        </w:rPr>
        <w:t xml:space="preserve"> (</w:t>
      </w:r>
      <w:r w:rsidR="000C6A77" w:rsidRPr="00241EFA">
        <w:rPr>
          <w:b/>
          <w:bCs/>
          <w:sz w:val="20"/>
          <w:szCs w:val="20"/>
        </w:rPr>
        <w:t>Hessisches Statistisches Landesamt / Berechnungen der Hessen Agentur</w:t>
      </w:r>
      <w:r w:rsidR="000C6A77">
        <w:rPr>
          <w:b/>
          <w:bCs/>
          <w:sz w:val="20"/>
          <w:szCs w:val="20"/>
        </w:rPr>
        <w:t xml:space="preserve"> 2008-2018</w:t>
      </w:r>
      <w:r w:rsidR="005A6526">
        <w:rPr>
          <w:b/>
          <w:bCs/>
          <w:sz w:val="20"/>
          <w:szCs w:val="20"/>
        </w:rPr>
        <w:t>)</w:t>
      </w:r>
      <w:r w:rsidR="00117DE1">
        <w:rPr>
          <w:b/>
          <w:bCs/>
          <w:sz w:val="20"/>
          <w:szCs w:val="20"/>
        </w:rPr>
        <w:t xml:space="preserve">; </w:t>
      </w:r>
      <w:r w:rsidR="009A1AB3" w:rsidRPr="009A1AB3">
        <w:rPr>
          <w:rFonts w:cs="Tahoma"/>
          <w:b/>
          <w:bCs/>
          <w:sz w:val="20"/>
          <w:szCs w:val="20"/>
        </w:rPr>
        <w:t>Statista (Juni 2020):</w:t>
      </w:r>
      <w:r w:rsidR="009A1AB3">
        <w:rPr>
          <w:rFonts w:cs="Tahoma"/>
          <w:b/>
          <w:bCs/>
          <w:sz w:val="20"/>
          <w:szCs w:val="20"/>
        </w:rPr>
        <w:t xml:space="preserve"> </w:t>
      </w:r>
      <w:r w:rsidR="00117DE1">
        <w:rPr>
          <w:rFonts w:cs="Tahoma"/>
          <w:b/>
          <w:bCs/>
          <w:sz w:val="20"/>
          <w:szCs w:val="20"/>
        </w:rPr>
        <w:t>U</w:t>
      </w:r>
      <w:r w:rsidR="009A1AB3" w:rsidRPr="00117DE1">
        <w:rPr>
          <w:rFonts w:cs="Tahoma"/>
          <w:b/>
          <w:bCs/>
          <w:sz w:val="20"/>
          <w:szCs w:val="20"/>
        </w:rPr>
        <w:t>nternehmensgr</w:t>
      </w:r>
      <w:r w:rsidR="00117DE1">
        <w:rPr>
          <w:rFonts w:cs="Tahoma"/>
          <w:b/>
          <w:bCs/>
          <w:sz w:val="20"/>
          <w:szCs w:val="20"/>
        </w:rPr>
        <w:t>ü</w:t>
      </w:r>
      <w:r w:rsidR="009A1AB3" w:rsidRPr="00117DE1">
        <w:rPr>
          <w:rFonts w:cs="Tahoma"/>
          <w:b/>
          <w:bCs/>
          <w:sz w:val="20"/>
          <w:szCs w:val="20"/>
        </w:rPr>
        <w:t>nder</w:t>
      </w:r>
      <w:r w:rsidR="00117DE1">
        <w:rPr>
          <w:rFonts w:cs="Tahoma"/>
          <w:b/>
          <w:bCs/>
          <w:sz w:val="20"/>
          <w:szCs w:val="20"/>
        </w:rPr>
        <w:t xml:space="preserve"> </w:t>
      </w:r>
      <w:r w:rsidR="009A1AB3" w:rsidRPr="00117DE1">
        <w:rPr>
          <w:rFonts w:cs="Tahoma"/>
          <w:b/>
          <w:bCs/>
          <w:sz w:val="20"/>
          <w:szCs w:val="20"/>
        </w:rPr>
        <w:t>nach</w:t>
      </w:r>
      <w:r w:rsidR="00117DE1">
        <w:rPr>
          <w:rFonts w:cs="Tahoma"/>
          <w:b/>
          <w:bCs/>
          <w:sz w:val="20"/>
          <w:szCs w:val="20"/>
        </w:rPr>
        <w:t xml:space="preserve"> G</w:t>
      </w:r>
      <w:r w:rsidR="009A1AB3" w:rsidRPr="00117DE1">
        <w:rPr>
          <w:rFonts w:cs="Tahoma"/>
          <w:b/>
          <w:bCs/>
          <w:sz w:val="20"/>
          <w:szCs w:val="20"/>
        </w:rPr>
        <w:t>eschlecht</w:t>
      </w:r>
      <w:r w:rsidR="00117DE1">
        <w:rPr>
          <w:rFonts w:cs="Tahoma"/>
          <w:b/>
          <w:bCs/>
          <w:sz w:val="20"/>
          <w:szCs w:val="20"/>
        </w:rPr>
        <w:t xml:space="preserve"> </w:t>
      </w:r>
      <w:r w:rsidR="009A1AB3" w:rsidRPr="00117DE1">
        <w:rPr>
          <w:rFonts w:cs="Tahoma"/>
          <w:b/>
          <w:bCs/>
          <w:sz w:val="20"/>
          <w:szCs w:val="20"/>
        </w:rPr>
        <w:t>in</w:t>
      </w:r>
      <w:r w:rsidR="00117DE1">
        <w:rPr>
          <w:rFonts w:cs="Tahoma"/>
          <w:b/>
          <w:bCs/>
          <w:sz w:val="20"/>
          <w:szCs w:val="20"/>
        </w:rPr>
        <w:t xml:space="preserve"> D</w:t>
      </w:r>
      <w:r w:rsidR="009A1AB3" w:rsidRPr="00117DE1">
        <w:rPr>
          <w:rFonts w:cs="Tahoma"/>
          <w:b/>
          <w:bCs/>
          <w:sz w:val="20"/>
          <w:szCs w:val="20"/>
        </w:rPr>
        <w:t>eutschland</w:t>
      </w:r>
      <w:r w:rsidR="009A1AB3" w:rsidRPr="000C6A77">
        <w:rPr>
          <w:rFonts w:cs="Tahoma"/>
          <w:b/>
          <w:bCs/>
          <w:sz w:val="20"/>
          <w:szCs w:val="20"/>
        </w:rPr>
        <w:t xml:space="preserve"> (2004 – 2019)</w:t>
      </w:r>
    </w:p>
    <w:p w14:paraId="07576D27" w14:textId="06AF7637" w:rsidR="009A1AB3" w:rsidRPr="000C6A77" w:rsidRDefault="009A1AB3" w:rsidP="00547171">
      <w:pPr>
        <w:rPr>
          <w:rFonts w:cs="Tahoma"/>
          <w:b/>
          <w:bCs/>
          <w:sz w:val="20"/>
          <w:szCs w:val="20"/>
        </w:rPr>
      </w:pPr>
    </w:p>
    <w:p w14:paraId="065A20B3" w14:textId="724F51F8" w:rsidR="00185F6C" w:rsidRDefault="00185F6C" w:rsidP="00185F6C">
      <w:pPr>
        <w:pStyle w:val="Default"/>
        <w:jc w:val="center"/>
        <w:rPr>
          <w:sz w:val="20"/>
          <w:szCs w:val="20"/>
          <w:lang w:val="de-DE"/>
        </w:rPr>
      </w:pPr>
    </w:p>
    <w:p w14:paraId="6808883C" w14:textId="2A5F4A6D" w:rsidR="000C5D21" w:rsidRDefault="000C5D21" w:rsidP="00185F6C">
      <w:pPr>
        <w:pStyle w:val="Default"/>
        <w:jc w:val="center"/>
        <w:rPr>
          <w:sz w:val="20"/>
          <w:szCs w:val="20"/>
          <w:lang w:val="de-DE"/>
        </w:rPr>
      </w:pPr>
    </w:p>
    <w:p w14:paraId="24B70F44" w14:textId="1DD16B1D" w:rsidR="000C5D21" w:rsidRDefault="000C5D21" w:rsidP="00185F6C">
      <w:pPr>
        <w:pStyle w:val="Default"/>
        <w:jc w:val="center"/>
        <w:rPr>
          <w:sz w:val="20"/>
          <w:szCs w:val="20"/>
          <w:lang w:val="de-DE"/>
        </w:rPr>
      </w:pPr>
    </w:p>
    <w:p w14:paraId="0606EEFC" w14:textId="530AFCE8" w:rsidR="000C5D21" w:rsidRDefault="000C5D21" w:rsidP="00185F6C">
      <w:pPr>
        <w:pStyle w:val="Default"/>
        <w:jc w:val="center"/>
        <w:rPr>
          <w:sz w:val="20"/>
          <w:szCs w:val="20"/>
          <w:lang w:val="de-DE"/>
        </w:rPr>
      </w:pPr>
    </w:p>
    <w:p w14:paraId="6795356F" w14:textId="622FC567" w:rsidR="000C5D21" w:rsidRDefault="000C5D21" w:rsidP="00185F6C">
      <w:pPr>
        <w:pStyle w:val="Default"/>
        <w:jc w:val="center"/>
        <w:rPr>
          <w:sz w:val="20"/>
          <w:szCs w:val="20"/>
          <w:lang w:val="de-DE"/>
        </w:rPr>
      </w:pPr>
    </w:p>
    <w:p w14:paraId="5DB4F7B4" w14:textId="028F94D4" w:rsidR="000C5D21" w:rsidRDefault="000C5D21" w:rsidP="00185F6C">
      <w:pPr>
        <w:pStyle w:val="Default"/>
        <w:jc w:val="center"/>
        <w:rPr>
          <w:sz w:val="20"/>
          <w:szCs w:val="20"/>
          <w:lang w:val="de-DE"/>
        </w:rPr>
      </w:pPr>
    </w:p>
    <w:p w14:paraId="594D33B9" w14:textId="01C62E95" w:rsidR="000C5D21" w:rsidRDefault="000C5D21" w:rsidP="00185F6C">
      <w:pPr>
        <w:pStyle w:val="Default"/>
        <w:jc w:val="center"/>
        <w:rPr>
          <w:sz w:val="20"/>
          <w:szCs w:val="20"/>
          <w:lang w:val="de-DE"/>
        </w:rPr>
      </w:pPr>
    </w:p>
    <w:p w14:paraId="2AF5C39A" w14:textId="315DAAA3" w:rsidR="000C5D21" w:rsidRDefault="000C5D21" w:rsidP="00185F6C">
      <w:pPr>
        <w:pStyle w:val="Default"/>
        <w:jc w:val="center"/>
        <w:rPr>
          <w:sz w:val="20"/>
          <w:szCs w:val="20"/>
          <w:lang w:val="de-DE"/>
        </w:rPr>
      </w:pPr>
    </w:p>
    <w:p w14:paraId="716808D4" w14:textId="3F279025" w:rsidR="000C5D21" w:rsidRDefault="000C5D21" w:rsidP="00185F6C">
      <w:pPr>
        <w:pStyle w:val="Default"/>
        <w:jc w:val="center"/>
        <w:rPr>
          <w:sz w:val="20"/>
          <w:szCs w:val="20"/>
          <w:lang w:val="de-DE"/>
        </w:rPr>
      </w:pPr>
    </w:p>
    <w:p w14:paraId="6BD1C144" w14:textId="77777777" w:rsidR="000C5D21" w:rsidRPr="000C6A77" w:rsidRDefault="000C5D21" w:rsidP="00185F6C">
      <w:pPr>
        <w:pStyle w:val="Default"/>
        <w:jc w:val="center"/>
        <w:rPr>
          <w:sz w:val="20"/>
          <w:szCs w:val="20"/>
          <w:lang w:val="de-DE"/>
        </w:rPr>
      </w:pPr>
    </w:p>
    <w:p w14:paraId="31084F40" w14:textId="77777777" w:rsidR="00C26D28" w:rsidRPr="00C26D28" w:rsidRDefault="00C26D28" w:rsidP="00C26D28">
      <w:pPr>
        <w:pStyle w:val="NormalWeb"/>
        <w:spacing w:before="0" w:beforeAutospacing="0" w:after="120" w:afterAutospacing="0"/>
        <w:jc w:val="both"/>
        <w:rPr>
          <w:rFonts w:ascii="Corbel" w:hAnsi="Corbel"/>
          <w:lang w:val="de-DE"/>
        </w:rPr>
      </w:pPr>
    </w:p>
    <w:p w14:paraId="2AEDC8B0" w14:textId="77777777" w:rsidR="00C26D28" w:rsidRPr="009906BC" w:rsidRDefault="00C26D28" w:rsidP="00C26D28">
      <w:pPr>
        <w:pBdr>
          <w:top w:val="single" w:sz="4" w:space="1" w:color="auto"/>
          <w:left w:val="single" w:sz="4" w:space="4" w:color="auto"/>
          <w:bottom w:val="single" w:sz="4" w:space="1" w:color="auto"/>
          <w:right w:val="single" w:sz="4" w:space="4" w:color="auto"/>
        </w:pBdr>
        <w:tabs>
          <w:tab w:val="left" w:pos="7380"/>
        </w:tabs>
        <w:rPr>
          <w:sz w:val="18"/>
          <w:szCs w:val="18"/>
        </w:rPr>
      </w:pPr>
      <w:r w:rsidRPr="009906BC">
        <w:rPr>
          <w:rFonts w:cs="Arial Narrow"/>
          <w:b/>
          <w:bCs/>
          <w:sz w:val="18"/>
          <w:szCs w:val="18"/>
        </w:rPr>
        <w:t>Presse-Kontakt</w:t>
      </w:r>
      <w:r>
        <w:rPr>
          <w:rFonts w:cs="Arial Narrow"/>
          <w:b/>
          <w:bCs/>
          <w:sz w:val="18"/>
          <w:szCs w:val="18"/>
        </w:rPr>
        <w:t xml:space="preserve">: </w:t>
      </w:r>
      <w:r w:rsidRPr="009906BC">
        <w:rPr>
          <w:rFonts w:cs="Arial Narrow"/>
          <w:bCs/>
          <w:sz w:val="18"/>
          <w:szCs w:val="18"/>
        </w:rPr>
        <w:t xml:space="preserve">Sandra Megtert, </w:t>
      </w:r>
      <w:hyperlink r:id="rId12" w:history="1">
        <w:r w:rsidRPr="00C40983">
          <w:rPr>
            <w:rStyle w:val="Lienhypertexte"/>
            <w:rFonts w:cs="Arial Narrow"/>
            <w:bCs/>
            <w:sz w:val="18"/>
            <w:szCs w:val="18"/>
          </w:rPr>
          <w:t>info@sandra-megtert.com</w:t>
        </w:r>
      </w:hyperlink>
      <w:r w:rsidRPr="009906BC">
        <w:rPr>
          <w:rFonts w:cs="Arial Narrow"/>
          <w:bCs/>
          <w:sz w:val="18"/>
          <w:szCs w:val="18"/>
        </w:rPr>
        <w:t xml:space="preserve">,– </w:t>
      </w:r>
      <w:proofErr w:type="spellStart"/>
      <w:r w:rsidRPr="009906BC">
        <w:rPr>
          <w:rFonts w:cs="Arial Narrow"/>
          <w:bCs/>
          <w:sz w:val="18"/>
          <w:szCs w:val="18"/>
        </w:rPr>
        <w:t>v.i.S.d.P</w:t>
      </w:r>
      <w:proofErr w:type="spellEnd"/>
      <w:r w:rsidRPr="009906BC">
        <w:rPr>
          <w:rFonts w:cs="Arial Narrow"/>
          <w:bCs/>
          <w:sz w:val="18"/>
          <w:szCs w:val="18"/>
        </w:rPr>
        <w:t xml:space="preserve">.: Christiane </w:t>
      </w:r>
      <w:proofErr w:type="spellStart"/>
      <w:r w:rsidRPr="009906BC">
        <w:rPr>
          <w:rFonts w:cs="Arial Narrow"/>
          <w:bCs/>
          <w:sz w:val="18"/>
          <w:szCs w:val="18"/>
        </w:rPr>
        <w:t>Stapp-Osterod</w:t>
      </w:r>
      <w:proofErr w:type="spellEnd"/>
      <w:r w:rsidRPr="009906BC">
        <w:rPr>
          <w:rFonts w:cs="Arial Narrow"/>
          <w:bCs/>
          <w:sz w:val="18"/>
          <w:szCs w:val="18"/>
        </w:rPr>
        <w:t xml:space="preserve">, </w:t>
      </w:r>
      <w:proofErr w:type="spellStart"/>
      <w:r w:rsidRPr="009906BC">
        <w:rPr>
          <w:rFonts w:cs="Arial"/>
          <w:sz w:val="18"/>
          <w:szCs w:val="18"/>
        </w:rPr>
        <w:t>jumpp</w:t>
      </w:r>
      <w:proofErr w:type="spellEnd"/>
      <w:r w:rsidRPr="009906BC">
        <w:rPr>
          <w:rFonts w:cs="Arial"/>
          <w:sz w:val="18"/>
          <w:szCs w:val="18"/>
        </w:rPr>
        <w:t xml:space="preserve"> – </w:t>
      </w:r>
      <w:r w:rsidRPr="009906BC">
        <w:rPr>
          <w:rFonts w:cs="Arial"/>
          <w:i/>
          <w:sz w:val="18"/>
          <w:szCs w:val="18"/>
        </w:rPr>
        <w:t>Ihr</w:t>
      </w:r>
      <w:r w:rsidRPr="009906BC">
        <w:rPr>
          <w:rFonts w:cs="Arial"/>
          <w:sz w:val="18"/>
          <w:szCs w:val="18"/>
        </w:rPr>
        <w:t xml:space="preserve"> Sprungbrett in die Selbständigkeit </w:t>
      </w:r>
      <w:r>
        <w:rPr>
          <w:rFonts w:cs="Arial"/>
          <w:sz w:val="18"/>
          <w:szCs w:val="18"/>
        </w:rPr>
        <w:t>–</w:t>
      </w:r>
      <w:r w:rsidRPr="009906BC">
        <w:rPr>
          <w:rFonts w:cs="Arial"/>
          <w:sz w:val="18"/>
          <w:szCs w:val="18"/>
        </w:rPr>
        <w:t xml:space="preserve"> </w:t>
      </w:r>
      <w:r w:rsidRPr="009906BC">
        <w:rPr>
          <w:rFonts w:cs="Arial Narrow"/>
          <w:sz w:val="18"/>
          <w:szCs w:val="18"/>
        </w:rPr>
        <w:t xml:space="preserve">Frauenbetriebe e.V., Hamburger Allee 96, 60486 Frankfurt – T.: 069 / 715 89 55 -0, F. 069 / 715 89 55 -29, E-Mail: </w:t>
      </w:r>
      <w:hyperlink r:id="rId13" w:history="1">
        <w:r w:rsidRPr="009906BC">
          <w:rPr>
            <w:rStyle w:val="Lienhypertexte"/>
            <w:rFonts w:cs="Arial Narrow"/>
            <w:sz w:val="18"/>
            <w:szCs w:val="18"/>
          </w:rPr>
          <w:t>info@jumpp.de</w:t>
        </w:r>
      </w:hyperlink>
      <w:r w:rsidRPr="009906BC">
        <w:rPr>
          <w:rFonts w:cs="Arial Narrow"/>
          <w:sz w:val="18"/>
          <w:szCs w:val="18"/>
        </w:rPr>
        <w:t xml:space="preserve">, Internet: </w:t>
      </w:r>
      <w:hyperlink r:id="rId14" w:history="1">
        <w:r w:rsidRPr="009906BC">
          <w:rPr>
            <w:rStyle w:val="Lienhypertexte"/>
            <w:rFonts w:cs="Arial Narrow"/>
            <w:bCs/>
            <w:sz w:val="18"/>
            <w:szCs w:val="18"/>
          </w:rPr>
          <w:t>www.jumpp.de</w:t>
        </w:r>
      </w:hyperlink>
    </w:p>
    <w:p w14:paraId="44E3C6A8" w14:textId="77777777" w:rsidR="00CB6844" w:rsidRPr="00497313" w:rsidRDefault="00CB6844" w:rsidP="00CB6844">
      <w:pPr>
        <w:pStyle w:val="Default"/>
        <w:jc w:val="center"/>
        <w:rPr>
          <w:color w:val="auto"/>
          <w:lang w:val="de-DE"/>
        </w:rPr>
      </w:pPr>
      <w:bookmarkStart w:id="0" w:name="_GoBack"/>
      <w:bookmarkEnd w:id="0"/>
    </w:p>
    <w:sectPr w:rsidR="00CB6844" w:rsidRPr="00497313" w:rsidSect="00A94A6B">
      <w:footerReference w:type="default" r:id="rId15"/>
      <w:type w:val="continuous"/>
      <w:pgSz w:w="11906" w:h="16838"/>
      <w:pgMar w:top="567"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20ED0" w14:textId="77777777" w:rsidR="000D5DAA" w:rsidRDefault="000D5DAA" w:rsidP="007244A1">
      <w:pPr>
        <w:spacing w:after="0"/>
      </w:pPr>
      <w:r>
        <w:separator/>
      </w:r>
    </w:p>
  </w:endnote>
  <w:endnote w:type="continuationSeparator" w:id="0">
    <w:p w14:paraId="5291B1E2" w14:textId="77777777" w:rsidR="000D5DAA" w:rsidRDefault="000D5DAA" w:rsidP="007244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rbel">
    <w:altName w:val="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7684"/>
    </w:tblGrid>
    <w:tr w:rsidR="004A5F44" w14:paraId="3960C86D" w14:textId="77777777" w:rsidTr="004A5F44">
      <w:tc>
        <w:tcPr>
          <w:tcW w:w="2239" w:type="dxa"/>
        </w:tcPr>
        <w:p w14:paraId="5E6A199F" w14:textId="77777777" w:rsidR="004A5F44" w:rsidRPr="008D3C9A" w:rsidRDefault="004A5F44" w:rsidP="00134EBB">
          <w:pPr>
            <w:rPr>
              <w:rStyle w:val="Policepardfaut1"/>
              <w:bCs/>
              <w:sz w:val="4"/>
              <w:szCs w:val="4"/>
              <w:shd w:val="clear" w:color="auto" w:fill="FFFFFF"/>
            </w:rPr>
          </w:pPr>
          <w:r w:rsidRPr="00FF64B0">
            <w:rPr>
              <w:rStyle w:val="Mentionnonrsolue1"/>
              <w:bCs/>
              <w:noProof/>
              <w:sz w:val="20"/>
              <w:szCs w:val="20"/>
              <w:shd w:val="clear" w:color="auto" w:fill="FFFFFF"/>
              <w:lang w:eastAsia="de-DE"/>
            </w:rPr>
            <w:drawing>
              <wp:inline distT="0" distB="0" distL="0" distR="0" wp14:anchorId="0534B556" wp14:editId="521D5A1D">
                <wp:extent cx="1285200" cy="13212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5200" cy="1321200"/>
                        </a:xfrm>
                        <a:prstGeom prst="rect">
                          <a:avLst/>
                        </a:prstGeom>
                        <a:noFill/>
                        <a:ln>
                          <a:noFill/>
                        </a:ln>
                      </pic:spPr>
                    </pic:pic>
                  </a:graphicData>
                </a:graphic>
              </wp:inline>
            </w:drawing>
          </w:r>
        </w:p>
      </w:tc>
      <w:tc>
        <w:tcPr>
          <w:tcW w:w="7684" w:type="dxa"/>
        </w:tcPr>
        <w:p w14:paraId="2765C872" w14:textId="77777777" w:rsidR="004A5F44" w:rsidRDefault="004A5F44" w:rsidP="00134EBB">
          <w:pPr>
            <w:jc w:val="left"/>
            <w:rPr>
              <w:rStyle w:val="Policepardfaut1"/>
              <w:bCs/>
              <w:sz w:val="20"/>
              <w:szCs w:val="20"/>
              <w:shd w:val="clear" w:color="auto" w:fill="FFFFFF"/>
            </w:rPr>
          </w:pPr>
        </w:p>
        <w:p w14:paraId="06C79589" w14:textId="77777777" w:rsidR="004A5F44" w:rsidRPr="00201FBA" w:rsidRDefault="004A5F44" w:rsidP="00134EBB">
          <w:pPr>
            <w:rPr>
              <w:rStyle w:val="Policepardfaut1"/>
              <w:bCs/>
              <w:color w:val="595959" w:themeColor="text1" w:themeTint="A6"/>
              <w:sz w:val="38"/>
              <w:szCs w:val="38"/>
              <w:shd w:val="clear" w:color="auto" w:fill="FFFFFF"/>
            </w:rPr>
          </w:pPr>
        </w:p>
        <w:p w14:paraId="31C04D43" w14:textId="32D3D28A" w:rsidR="004A5F44" w:rsidRDefault="004A5F44" w:rsidP="00134EBB">
          <w:pPr>
            <w:rPr>
              <w:rStyle w:val="Policepardfaut1"/>
              <w:bCs/>
              <w:sz w:val="20"/>
              <w:szCs w:val="20"/>
              <w:shd w:val="clear" w:color="auto" w:fill="FFFFFF"/>
            </w:rPr>
          </w:pPr>
          <w:r w:rsidRPr="00134EBB">
            <w:rPr>
              <w:rStyle w:val="Policepardfaut1"/>
              <w:bCs/>
              <w:color w:val="595959" w:themeColor="text1" w:themeTint="A6"/>
              <w:sz w:val="20"/>
              <w:szCs w:val="20"/>
              <w:shd w:val="clear" w:color="auto" w:fill="FFFFFF"/>
            </w:rPr>
            <w:t xml:space="preserve">Das Projekt „AUF – mobile Akademie Unternehmensnachfolge für Frauen“ wird </w:t>
          </w:r>
          <w:r>
            <w:rPr>
              <w:rStyle w:val="Policepardfaut1"/>
              <w:bCs/>
              <w:color w:val="595959" w:themeColor="text1" w:themeTint="A6"/>
              <w:sz w:val="20"/>
              <w:szCs w:val="20"/>
              <w:shd w:val="clear" w:color="auto" w:fill="FFFFFF"/>
            </w:rPr>
            <w:t>durch das</w:t>
          </w:r>
          <w:r w:rsidRPr="00134EBB">
            <w:rPr>
              <w:rFonts w:eastAsia="Times New Roman" w:cs="Times New Roman"/>
              <w:color w:val="595959" w:themeColor="text1" w:themeTint="A6"/>
              <w:sz w:val="20"/>
              <w:szCs w:val="20"/>
              <w:lang w:eastAsia="fr-FR"/>
            </w:rPr>
            <w:t xml:space="preserve"> Bundesministerium für Wirtschaft und Energie (BMW</w:t>
          </w:r>
          <w:r>
            <w:rPr>
              <w:rFonts w:eastAsia="Times New Roman" w:cs="Times New Roman"/>
              <w:color w:val="595959" w:themeColor="text1" w:themeTint="A6"/>
              <w:sz w:val="20"/>
              <w:szCs w:val="20"/>
              <w:lang w:eastAsia="fr-FR"/>
            </w:rPr>
            <w:t>i</w:t>
          </w:r>
          <w:r w:rsidRPr="00134EBB">
            <w:rPr>
              <w:rFonts w:eastAsia="Times New Roman" w:cs="Times New Roman"/>
              <w:color w:val="595959" w:themeColor="text1" w:themeTint="A6"/>
              <w:sz w:val="20"/>
              <w:szCs w:val="20"/>
              <w:lang w:eastAsia="fr-FR"/>
            </w:rPr>
            <w:t>) im Rahmen der Initiative „Unternehmensnachfolge – aus der Praxis für die Praxis“ gefördert.</w:t>
          </w:r>
        </w:p>
      </w:tc>
    </w:tr>
  </w:tbl>
  <w:p w14:paraId="50F5C335" w14:textId="77777777" w:rsidR="00AC53AA" w:rsidRDefault="00AC53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9523A" w14:textId="77777777" w:rsidR="000D5DAA" w:rsidRDefault="000D5DAA" w:rsidP="007244A1">
      <w:pPr>
        <w:spacing w:after="0"/>
      </w:pPr>
      <w:r>
        <w:separator/>
      </w:r>
    </w:p>
  </w:footnote>
  <w:footnote w:type="continuationSeparator" w:id="0">
    <w:p w14:paraId="615F1C2E" w14:textId="77777777" w:rsidR="000D5DAA" w:rsidRDefault="000D5DAA" w:rsidP="007244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0661"/>
    <w:multiLevelType w:val="hybridMultilevel"/>
    <w:tmpl w:val="0E90E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2F12F3"/>
    <w:multiLevelType w:val="hybridMultilevel"/>
    <w:tmpl w:val="F9AE2F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84691A"/>
    <w:multiLevelType w:val="hybridMultilevel"/>
    <w:tmpl w:val="C5CE15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45621A"/>
    <w:multiLevelType w:val="hybridMultilevel"/>
    <w:tmpl w:val="9A041F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7E546BD"/>
    <w:multiLevelType w:val="hybridMultilevel"/>
    <w:tmpl w:val="F9B42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22A4086"/>
    <w:multiLevelType w:val="hybridMultilevel"/>
    <w:tmpl w:val="843440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3BF5EEE"/>
    <w:multiLevelType w:val="hybridMultilevel"/>
    <w:tmpl w:val="486EF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5EF55F6"/>
    <w:multiLevelType w:val="hybridMultilevel"/>
    <w:tmpl w:val="2E20E3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60CB6"/>
    <w:multiLevelType w:val="hybridMultilevel"/>
    <w:tmpl w:val="BEEA88F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55343B0"/>
    <w:multiLevelType w:val="hybridMultilevel"/>
    <w:tmpl w:val="1E4A7A9A"/>
    <w:lvl w:ilvl="0" w:tplc="99F25584">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41B6639"/>
    <w:multiLevelType w:val="hybridMultilevel"/>
    <w:tmpl w:val="B8563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6E137FB"/>
    <w:multiLevelType w:val="hybridMultilevel"/>
    <w:tmpl w:val="965E33A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585630C1"/>
    <w:multiLevelType w:val="hybridMultilevel"/>
    <w:tmpl w:val="E7A8B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D321C39"/>
    <w:multiLevelType w:val="multilevel"/>
    <w:tmpl w:val="18DC0EF8"/>
    <w:lvl w:ilvl="0">
      <w:start w:val="1"/>
      <w:numFmt w:val="decimal"/>
      <w:pStyle w:val="Euromir1"/>
      <w:lvlText w:val="%1"/>
      <w:lvlJc w:val="left"/>
      <w:pPr>
        <w:tabs>
          <w:tab w:val="num" w:pos="1134"/>
        </w:tabs>
        <w:ind w:left="1021" w:hanging="1021"/>
      </w:pPr>
      <w:rPr>
        <w:rFonts w:hint="default"/>
      </w:rPr>
    </w:lvl>
    <w:lvl w:ilvl="1">
      <w:start w:val="1"/>
      <w:numFmt w:val="decimal"/>
      <w:pStyle w:val="Euromir2"/>
      <w:lvlText w:val="%1.%2"/>
      <w:lvlJc w:val="left"/>
      <w:pPr>
        <w:tabs>
          <w:tab w:val="num" w:pos="1134"/>
        </w:tabs>
        <w:ind w:left="720" w:hanging="720"/>
      </w:pPr>
      <w:rPr>
        <w:rFonts w:hint="default"/>
      </w:rPr>
    </w:lvl>
    <w:lvl w:ilvl="2">
      <w:start w:val="1"/>
      <w:numFmt w:val="decimal"/>
      <w:pStyle w:val="Euromir3"/>
      <w:lvlText w:val="%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DA95A8E"/>
    <w:multiLevelType w:val="hybridMultilevel"/>
    <w:tmpl w:val="EDE85C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78E728C"/>
    <w:multiLevelType w:val="hybridMultilevel"/>
    <w:tmpl w:val="9EF83DD0"/>
    <w:lvl w:ilvl="0" w:tplc="AF6AEAA6">
      <w:start w:val="1"/>
      <w:numFmt w:val="bullet"/>
      <w:lvlText w:val=""/>
      <w:lvlJc w:val="left"/>
      <w:pPr>
        <w:ind w:left="720" w:hanging="360"/>
      </w:pPr>
      <w:rPr>
        <w:rFonts w:ascii="Wingdings" w:hAnsi="Wingdings" w:hint="default"/>
        <w:strike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7C8367B"/>
    <w:multiLevelType w:val="hybridMultilevel"/>
    <w:tmpl w:val="B192CF2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68BD65F9"/>
    <w:multiLevelType w:val="hybridMultilevel"/>
    <w:tmpl w:val="7C1258EC"/>
    <w:lvl w:ilvl="0" w:tplc="04070005">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8" w15:restartNumberingAfterBreak="0">
    <w:nsid w:val="6D4075F0"/>
    <w:multiLevelType w:val="hybridMultilevel"/>
    <w:tmpl w:val="C4A8DE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9383AC9"/>
    <w:multiLevelType w:val="hybridMultilevel"/>
    <w:tmpl w:val="FA52C2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CA348F0"/>
    <w:multiLevelType w:val="hybridMultilevel"/>
    <w:tmpl w:val="8528D868"/>
    <w:lvl w:ilvl="0" w:tplc="987A2BAA">
      <w:start w:val="1"/>
      <w:numFmt w:val="upperRoman"/>
      <w:lvlText w:val="%1.)"/>
      <w:lvlJc w:val="left"/>
      <w:pPr>
        <w:ind w:left="360" w:hanging="360"/>
      </w:pPr>
      <w:rPr>
        <w:rFonts w:hint="default"/>
      </w:rPr>
    </w:lvl>
    <w:lvl w:ilvl="1" w:tplc="0407000B">
      <w:start w:val="1"/>
      <w:numFmt w:val="bullet"/>
      <w:lvlText w:val=""/>
      <w:lvlJc w:val="left"/>
      <w:pPr>
        <w:ind w:left="1080" w:hanging="360"/>
      </w:pPr>
      <w:rPr>
        <w:rFonts w:ascii="Wingdings" w:hAnsi="Wingdings" w:hint="default"/>
      </w:rPr>
    </w:lvl>
    <w:lvl w:ilvl="2" w:tplc="04070003">
      <w:start w:val="1"/>
      <w:numFmt w:val="bullet"/>
      <w:lvlText w:val="o"/>
      <w:lvlJc w:val="left"/>
      <w:pPr>
        <w:ind w:left="1800" w:hanging="180"/>
      </w:pPr>
      <w:rPr>
        <w:rFonts w:ascii="Courier New" w:hAnsi="Courier New" w:cs="Courier New" w:hint="default"/>
      </w:r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3"/>
  </w:num>
  <w:num w:numId="2">
    <w:abstractNumId w:val="15"/>
  </w:num>
  <w:num w:numId="3">
    <w:abstractNumId w:val="8"/>
  </w:num>
  <w:num w:numId="4">
    <w:abstractNumId w:val="13"/>
  </w:num>
  <w:num w:numId="5">
    <w:abstractNumId w:val="20"/>
  </w:num>
  <w:num w:numId="6">
    <w:abstractNumId w:val="16"/>
  </w:num>
  <w:num w:numId="7">
    <w:abstractNumId w:val="11"/>
  </w:num>
  <w:num w:numId="8">
    <w:abstractNumId w:val="9"/>
  </w:num>
  <w:num w:numId="9">
    <w:abstractNumId w:val="14"/>
  </w:num>
  <w:num w:numId="10">
    <w:abstractNumId w:val="10"/>
  </w:num>
  <w:num w:numId="11">
    <w:abstractNumId w:val="17"/>
  </w:num>
  <w:num w:numId="12">
    <w:abstractNumId w:val="18"/>
  </w:num>
  <w:num w:numId="13">
    <w:abstractNumId w:val="0"/>
  </w:num>
  <w:num w:numId="14">
    <w:abstractNumId w:val="4"/>
  </w:num>
  <w:num w:numId="15">
    <w:abstractNumId w:val="19"/>
  </w:num>
  <w:num w:numId="16">
    <w:abstractNumId w:val="12"/>
  </w:num>
  <w:num w:numId="17">
    <w:abstractNumId w:val="7"/>
  </w:num>
  <w:num w:numId="18">
    <w:abstractNumId w:val="5"/>
  </w:num>
  <w:num w:numId="19">
    <w:abstractNumId w:val="1"/>
  </w:num>
  <w:num w:numId="20">
    <w:abstractNumId w:val="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93"/>
    <w:rsid w:val="000203BB"/>
    <w:rsid w:val="000261FF"/>
    <w:rsid w:val="00030450"/>
    <w:rsid w:val="00042023"/>
    <w:rsid w:val="000460BB"/>
    <w:rsid w:val="00046A76"/>
    <w:rsid w:val="00072EEF"/>
    <w:rsid w:val="00075F06"/>
    <w:rsid w:val="00090B59"/>
    <w:rsid w:val="00092344"/>
    <w:rsid w:val="000A0497"/>
    <w:rsid w:val="000B4E7C"/>
    <w:rsid w:val="000C5D21"/>
    <w:rsid w:val="000C6646"/>
    <w:rsid w:val="000C69BC"/>
    <w:rsid w:val="000C6A77"/>
    <w:rsid w:val="000D5DAA"/>
    <w:rsid w:val="000E12C2"/>
    <w:rsid w:val="000F3E20"/>
    <w:rsid w:val="00100FDA"/>
    <w:rsid w:val="001141DF"/>
    <w:rsid w:val="00117BBF"/>
    <w:rsid w:val="00117DE1"/>
    <w:rsid w:val="00123B82"/>
    <w:rsid w:val="001324A9"/>
    <w:rsid w:val="00134EBB"/>
    <w:rsid w:val="00140947"/>
    <w:rsid w:val="00185F6C"/>
    <w:rsid w:val="00195CA1"/>
    <w:rsid w:val="001B3ACA"/>
    <w:rsid w:val="001B549A"/>
    <w:rsid w:val="001C0EC7"/>
    <w:rsid w:val="001C0EDA"/>
    <w:rsid w:val="001D00CF"/>
    <w:rsid w:val="001D34F8"/>
    <w:rsid w:val="001E0023"/>
    <w:rsid w:val="001E76E6"/>
    <w:rsid w:val="001F11C2"/>
    <w:rsid w:val="00201FBA"/>
    <w:rsid w:val="00211660"/>
    <w:rsid w:val="00221425"/>
    <w:rsid w:val="00222F4B"/>
    <w:rsid w:val="00241EFA"/>
    <w:rsid w:val="00267FD0"/>
    <w:rsid w:val="00285582"/>
    <w:rsid w:val="002978A8"/>
    <w:rsid w:val="002A1861"/>
    <w:rsid w:val="002A4C37"/>
    <w:rsid w:val="002B2EBC"/>
    <w:rsid w:val="002B406B"/>
    <w:rsid w:val="002D5119"/>
    <w:rsid w:val="002F4875"/>
    <w:rsid w:val="002F73D5"/>
    <w:rsid w:val="0031240F"/>
    <w:rsid w:val="00314906"/>
    <w:rsid w:val="00340837"/>
    <w:rsid w:val="003440FB"/>
    <w:rsid w:val="00345552"/>
    <w:rsid w:val="00353C90"/>
    <w:rsid w:val="0035471E"/>
    <w:rsid w:val="00360D12"/>
    <w:rsid w:val="00367BBD"/>
    <w:rsid w:val="00372AD4"/>
    <w:rsid w:val="00382102"/>
    <w:rsid w:val="00386D65"/>
    <w:rsid w:val="003A5715"/>
    <w:rsid w:val="003A7177"/>
    <w:rsid w:val="003B37B0"/>
    <w:rsid w:val="003B5CE6"/>
    <w:rsid w:val="003B7F24"/>
    <w:rsid w:val="003D505C"/>
    <w:rsid w:val="003E7D34"/>
    <w:rsid w:val="004011B1"/>
    <w:rsid w:val="00403DC0"/>
    <w:rsid w:val="00410B7D"/>
    <w:rsid w:val="004134FB"/>
    <w:rsid w:val="004319B5"/>
    <w:rsid w:val="0044092D"/>
    <w:rsid w:val="00440B88"/>
    <w:rsid w:val="00442FB3"/>
    <w:rsid w:val="00445E6E"/>
    <w:rsid w:val="004667AB"/>
    <w:rsid w:val="00470901"/>
    <w:rsid w:val="004735CF"/>
    <w:rsid w:val="00497313"/>
    <w:rsid w:val="004A5F44"/>
    <w:rsid w:val="004C0D00"/>
    <w:rsid w:val="004C1FD9"/>
    <w:rsid w:val="004C69A9"/>
    <w:rsid w:val="004D2F72"/>
    <w:rsid w:val="004D42FC"/>
    <w:rsid w:val="004E4251"/>
    <w:rsid w:val="004E78D6"/>
    <w:rsid w:val="004F0AD1"/>
    <w:rsid w:val="004F0E31"/>
    <w:rsid w:val="004F2F71"/>
    <w:rsid w:val="004F3C66"/>
    <w:rsid w:val="00516B53"/>
    <w:rsid w:val="00523C0D"/>
    <w:rsid w:val="00523F5B"/>
    <w:rsid w:val="00524548"/>
    <w:rsid w:val="00524B29"/>
    <w:rsid w:val="00532245"/>
    <w:rsid w:val="00532578"/>
    <w:rsid w:val="00544C44"/>
    <w:rsid w:val="00547171"/>
    <w:rsid w:val="005716B7"/>
    <w:rsid w:val="00571788"/>
    <w:rsid w:val="005943DA"/>
    <w:rsid w:val="005A169A"/>
    <w:rsid w:val="005A6526"/>
    <w:rsid w:val="005A7693"/>
    <w:rsid w:val="005B6BC5"/>
    <w:rsid w:val="005E0917"/>
    <w:rsid w:val="005F19FB"/>
    <w:rsid w:val="006024DE"/>
    <w:rsid w:val="00607795"/>
    <w:rsid w:val="00613432"/>
    <w:rsid w:val="00620D20"/>
    <w:rsid w:val="00625B02"/>
    <w:rsid w:val="00630A55"/>
    <w:rsid w:val="00635CA6"/>
    <w:rsid w:val="00651035"/>
    <w:rsid w:val="006620F6"/>
    <w:rsid w:val="00662D08"/>
    <w:rsid w:val="00665465"/>
    <w:rsid w:val="00684108"/>
    <w:rsid w:val="006B4171"/>
    <w:rsid w:val="006F4B9A"/>
    <w:rsid w:val="00711F75"/>
    <w:rsid w:val="00712D8A"/>
    <w:rsid w:val="007244A1"/>
    <w:rsid w:val="00726CC5"/>
    <w:rsid w:val="00727D35"/>
    <w:rsid w:val="00743FDA"/>
    <w:rsid w:val="00744D1D"/>
    <w:rsid w:val="00745F76"/>
    <w:rsid w:val="00750B77"/>
    <w:rsid w:val="00753A2F"/>
    <w:rsid w:val="00756329"/>
    <w:rsid w:val="00757E64"/>
    <w:rsid w:val="00765C8B"/>
    <w:rsid w:val="00772270"/>
    <w:rsid w:val="00774A7E"/>
    <w:rsid w:val="0078148F"/>
    <w:rsid w:val="007A0DC1"/>
    <w:rsid w:val="007C1651"/>
    <w:rsid w:val="007D46CD"/>
    <w:rsid w:val="007E08E6"/>
    <w:rsid w:val="007E11AB"/>
    <w:rsid w:val="007E178D"/>
    <w:rsid w:val="007E461A"/>
    <w:rsid w:val="007F5FD8"/>
    <w:rsid w:val="008025A3"/>
    <w:rsid w:val="00817B25"/>
    <w:rsid w:val="00821524"/>
    <w:rsid w:val="0082250F"/>
    <w:rsid w:val="00827320"/>
    <w:rsid w:val="0084164B"/>
    <w:rsid w:val="00844719"/>
    <w:rsid w:val="0084583D"/>
    <w:rsid w:val="008509B6"/>
    <w:rsid w:val="00860E18"/>
    <w:rsid w:val="008726F3"/>
    <w:rsid w:val="00872F62"/>
    <w:rsid w:val="008731EB"/>
    <w:rsid w:val="008775F4"/>
    <w:rsid w:val="00882C9E"/>
    <w:rsid w:val="00892B58"/>
    <w:rsid w:val="00895498"/>
    <w:rsid w:val="008A4488"/>
    <w:rsid w:val="008A76B9"/>
    <w:rsid w:val="008B4DD8"/>
    <w:rsid w:val="008C2A2B"/>
    <w:rsid w:val="008D3C9A"/>
    <w:rsid w:val="008D6524"/>
    <w:rsid w:val="008E6B5E"/>
    <w:rsid w:val="008F4749"/>
    <w:rsid w:val="0090631D"/>
    <w:rsid w:val="00912777"/>
    <w:rsid w:val="00917489"/>
    <w:rsid w:val="00921053"/>
    <w:rsid w:val="00921400"/>
    <w:rsid w:val="00956D5C"/>
    <w:rsid w:val="00962649"/>
    <w:rsid w:val="0096341E"/>
    <w:rsid w:val="009A1AB3"/>
    <w:rsid w:val="009A5FC6"/>
    <w:rsid w:val="009B1603"/>
    <w:rsid w:val="009B34A8"/>
    <w:rsid w:val="009C09C1"/>
    <w:rsid w:val="009E0841"/>
    <w:rsid w:val="009E6B4D"/>
    <w:rsid w:val="00A01C01"/>
    <w:rsid w:val="00A024DA"/>
    <w:rsid w:val="00A038D4"/>
    <w:rsid w:val="00A1318D"/>
    <w:rsid w:val="00A26FC8"/>
    <w:rsid w:val="00A30513"/>
    <w:rsid w:val="00A43738"/>
    <w:rsid w:val="00A44DA0"/>
    <w:rsid w:val="00A55F21"/>
    <w:rsid w:val="00A611B5"/>
    <w:rsid w:val="00A86FFB"/>
    <w:rsid w:val="00A92BE7"/>
    <w:rsid w:val="00A94A6B"/>
    <w:rsid w:val="00AA3146"/>
    <w:rsid w:val="00AB055F"/>
    <w:rsid w:val="00AB7D3F"/>
    <w:rsid w:val="00AC3B4F"/>
    <w:rsid w:val="00AC53AA"/>
    <w:rsid w:val="00AD239E"/>
    <w:rsid w:val="00AD365A"/>
    <w:rsid w:val="00AE57C4"/>
    <w:rsid w:val="00AF5840"/>
    <w:rsid w:val="00B15FD5"/>
    <w:rsid w:val="00B22BDC"/>
    <w:rsid w:val="00B33FD4"/>
    <w:rsid w:val="00B3609E"/>
    <w:rsid w:val="00B63938"/>
    <w:rsid w:val="00B84778"/>
    <w:rsid w:val="00B97DB4"/>
    <w:rsid w:val="00BA0DFD"/>
    <w:rsid w:val="00BA741A"/>
    <w:rsid w:val="00BB1972"/>
    <w:rsid w:val="00BB253B"/>
    <w:rsid w:val="00BC0214"/>
    <w:rsid w:val="00BC65D2"/>
    <w:rsid w:val="00BE3348"/>
    <w:rsid w:val="00C05093"/>
    <w:rsid w:val="00C176C9"/>
    <w:rsid w:val="00C26D28"/>
    <w:rsid w:val="00C33CBB"/>
    <w:rsid w:val="00C360E1"/>
    <w:rsid w:val="00C41EBC"/>
    <w:rsid w:val="00C45761"/>
    <w:rsid w:val="00C473D9"/>
    <w:rsid w:val="00C64097"/>
    <w:rsid w:val="00C75F07"/>
    <w:rsid w:val="00C95DF8"/>
    <w:rsid w:val="00CB6844"/>
    <w:rsid w:val="00CC13CC"/>
    <w:rsid w:val="00CC6568"/>
    <w:rsid w:val="00CF0E2E"/>
    <w:rsid w:val="00D17989"/>
    <w:rsid w:val="00D17B31"/>
    <w:rsid w:val="00D264F3"/>
    <w:rsid w:val="00D4161A"/>
    <w:rsid w:val="00D65815"/>
    <w:rsid w:val="00D8756E"/>
    <w:rsid w:val="00D91771"/>
    <w:rsid w:val="00DA6752"/>
    <w:rsid w:val="00DC0590"/>
    <w:rsid w:val="00DC65A9"/>
    <w:rsid w:val="00DF0BC1"/>
    <w:rsid w:val="00DF3CCB"/>
    <w:rsid w:val="00E019FC"/>
    <w:rsid w:val="00E077F5"/>
    <w:rsid w:val="00E11F5F"/>
    <w:rsid w:val="00E21E66"/>
    <w:rsid w:val="00E22EBC"/>
    <w:rsid w:val="00E24C01"/>
    <w:rsid w:val="00E2722C"/>
    <w:rsid w:val="00E3046F"/>
    <w:rsid w:val="00E45B5D"/>
    <w:rsid w:val="00E45FC9"/>
    <w:rsid w:val="00E566CD"/>
    <w:rsid w:val="00E60E3A"/>
    <w:rsid w:val="00E6285B"/>
    <w:rsid w:val="00E90A53"/>
    <w:rsid w:val="00EA2FF3"/>
    <w:rsid w:val="00EB2814"/>
    <w:rsid w:val="00EB33EA"/>
    <w:rsid w:val="00ED136F"/>
    <w:rsid w:val="00ED3F15"/>
    <w:rsid w:val="00EE28CC"/>
    <w:rsid w:val="00EE6C9D"/>
    <w:rsid w:val="00EE6DE6"/>
    <w:rsid w:val="00EE7DBF"/>
    <w:rsid w:val="00F02D53"/>
    <w:rsid w:val="00F0407E"/>
    <w:rsid w:val="00F157DD"/>
    <w:rsid w:val="00F167C0"/>
    <w:rsid w:val="00F17CD0"/>
    <w:rsid w:val="00F27A57"/>
    <w:rsid w:val="00F3234E"/>
    <w:rsid w:val="00F37D9C"/>
    <w:rsid w:val="00F46238"/>
    <w:rsid w:val="00F65A60"/>
    <w:rsid w:val="00FA3E5D"/>
    <w:rsid w:val="00FB1F5E"/>
    <w:rsid w:val="00FB7BB7"/>
    <w:rsid w:val="00FC18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59227"/>
  <w15:chartTrackingRefBased/>
  <w15:docId w15:val="{C285ECA7-ED7E-4D02-A8CB-2EA5CDBE0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andra - Texte Normal"/>
    <w:qFormat/>
    <w:rsid w:val="009B1603"/>
    <w:pPr>
      <w:jc w:val="both"/>
    </w:pPr>
    <w:rPr>
      <w:rFonts w:ascii="Corbel" w:hAnsi="Corbel"/>
      <w:sz w:val="24"/>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uiPriority w:val="39"/>
    <w:semiHidden/>
    <w:unhideWhenUsed/>
    <w:rsid w:val="00607795"/>
    <w:pPr>
      <w:shd w:val="clear" w:color="auto" w:fill="BFBFBF" w:themeFill="background1" w:themeFillShade="BF"/>
      <w:spacing w:after="100"/>
    </w:pPr>
    <w:rPr>
      <w:b/>
      <w:sz w:val="28"/>
      <w:u w:val="single"/>
    </w:rPr>
  </w:style>
  <w:style w:type="paragraph" w:styleId="TM2">
    <w:name w:val="toc 2"/>
    <w:basedOn w:val="Normal"/>
    <w:next w:val="Normal"/>
    <w:autoRedefine/>
    <w:uiPriority w:val="39"/>
    <w:semiHidden/>
    <w:unhideWhenUsed/>
    <w:rsid w:val="00607795"/>
    <w:pPr>
      <w:spacing w:after="100"/>
      <w:ind w:left="220"/>
    </w:pPr>
    <w:rPr>
      <w:b/>
      <w:u w:val="single"/>
    </w:rPr>
  </w:style>
  <w:style w:type="paragraph" w:styleId="TM3">
    <w:name w:val="toc 3"/>
    <w:basedOn w:val="Normal"/>
    <w:next w:val="Normal"/>
    <w:autoRedefine/>
    <w:uiPriority w:val="39"/>
    <w:semiHidden/>
    <w:unhideWhenUsed/>
    <w:rsid w:val="00607795"/>
    <w:pPr>
      <w:spacing w:after="100"/>
      <w:ind w:left="708"/>
    </w:pPr>
    <w:rPr>
      <w:b/>
    </w:rPr>
  </w:style>
  <w:style w:type="paragraph" w:styleId="TM4">
    <w:name w:val="toc 4"/>
    <w:basedOn w:val="Normal"/>
    <w:next w:val="Normal"/>
    <w:autoRedefine/>
    <w:uiPriority w:val="39"/>
    <w:semiHidden/>
    <w:unhideWhenUsed/>
    <w:rsid w:val="00607795"/>
    <w:pPr>
      <w:spacing w:after="100"/>
      <w:ind w:left="660"/>
    </w:pPr>
    <w:rPr>
      <w:b/>
      <w:i/>
    </w:rPr>
  </w:style>
  <w:style w:type="paragraph" w:customStyle="1" w:styleId="Default">
    <w:name w:val="Default"/>
    <w:rsid w:val="00C05093"/>
    <w:pPr>
      <w:autoSpaceDE w:val="0"/>
      <w:autoSpaceDN w:val="0"/>
      <w:adjustRightInd w:val="0"/>
      <w:spacing w:after="0"/>
    </w:pPr>
    <w:rPr>
      <w:rFonts w:ascii="Corbel" w:hAnsi="Corbel" w:cs="Corbel"/>
      <w:color w:val="000000"/>
      <w:sz w:val="24"/>
      <w:szCs w:val="24"/>
    </w:rPr>
  </w:style>
  <w:style w:type="paragraph" w:styleId="Textedebulles">
    <w:name w:val="Balloon Text"/>
    <w:basedOn w:val="Normal"/>
    <w:link w:val="TextedebullesCar"/>
    <w:uiPriority w:val="99"/>
    <w:semiHidden/>
    <w:unhideWhenUsed/>
    <w:rsid w:val="00E3046F"/>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046F"/>
    <w:rPr>
      <w:rFonts w:ascii="Segoe UI" w:hAnsi="Segoe UI" w:cs="Segoe UI"/>
      <w:sz w:val="18"/>
      <w:szCs w:val="18"/>
      <w:lang w:val="de-DE"/>
    </w:rPr>
  </w:style>
  <w:style w:type="paragraph" w:styleId="En-tte">
    <w:name w:val="header"/>
    <w:basedOn w:val="Normal"/>
    <w:link w:val="En-tteCar"/>
    <w:uiPriority w:val="99"/>
    <w:unhideWhenUsed/>
    <w:rsid w:val="007244A1"/>
    <w:pPr>
      <w:tabs>
        <w:tab w:val="center" w:pos="4536"/>
        <w:tab w:val="right" w:pos="9072"/>
      </w:tabs>
      <w:spacing w:after="0"/>
    </w:pPr>
  </w:style>
  <w:style w:type="character" w:customStyle="1" w:styleId="En-tteCar">
    <w:name w:val="En-tête Car"/>
    <w:basedOn w:val="Policepardfaut"/>
    <w:link w:val="En-tte"/>
    <w:uiPriority w:val="99"/>
    <w:rsid w:val="007244A1"/>
    <w:rPr>
      <w:rFonts w:ascii="Corbel" w:hAnsi="Corbel"/>
      <w:sz w:val="24"/>
      <w:lang w:val="de-DE"/>
    </w:rPr>
  </w:style>
  <w:style w:type="paragraph" w:styleId="Pieddepage">
    <w:name w:val="footer"/>
    <w:basedOn w:val="Normal"/>
    <w:link w:val="PieddepageCar"/>
    <w:uiPriority w:val="99"/>
    <w:unhideWhenUsed/>
    <w:rsid w:val="007244A1"/>
    <w:pPr>
      <w:tabs>
        <w:tab w:val="center" w:pos="4536"/>
        <w:tab w:val="right" w:pos="9072"/>
      </w:tabs>
      <w:spacing w:after="0"/>
    </w:pPr>
  </w:style>
  <w:style w:type="character" w:customStyle="1" w:styleId="PieddepageCar">
    <w:name w:val="Pied de page Car"/>
    <w:basedOn w:val="Policepardfaut"/>
    <w:link w:val="Pieddepage"/>
    <w:uiPriority w:val="99"/>
    <w:rsid w:val="007244A1"/>
    <w:rPr>
      <w:rFonts w:ascii="Corbel" w:hAnsi="Corbel"/>
      <w:sz w:val="24"/>
      <w:lang w:val="de-DE"/>
    </w:rPr>
  </w:style>
  <w:style w:type="character" w:customStyle="1" w:styleId="Policepardfaut1">
    <w:name w:val="Police par défaut1"/>
    <w:rsid w:val="007244A1"/>
  </w:style>
  <w:style w:type="table" w:styleId="Grilledutableau">
    <w:name w:val="Table Grid"/>
    <w:basedOn w:val="TableauNormal"/>
    <w:uiPriority w:val="39"/>
    <w:rsid w:val="008D3C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8D3C9A"/>
    <w:rPr>
      <w:color w:val="808080"/>
      <w:shd w:val="clear" w:color="auto" w:fill="E6E6E6"/>
    </w:rPr>
  </w:style>
  <w:style w:type="character" w:styleId="Lienhypertexte">
    <w:name w:val="Hyperlink"/>
    <w:basedOn w:val="Policepardfaut"/>
    <w:uiPriority w:val="99"/>
    <w:unhideWhenUsed/>
    <w:rsid w:val="008D3C9A"/>
    <w:rPr>
      <w:color w:val="0563C1" w:themeColor="hyperlink"/>
      <w:u w:val="single"/>
    </w:rPr>
  </w:style>
  <w:style w:type="character" w:customStyle="1" w:styleId="Mentionnonrsolue2">
    <w:name w:val="Mention non résolue2"/>
    <w:basedOn w:val="Policepardfaut"/>
    <w:uiPriority w:val="99"/>
    <w:semiHidden/>
    <w:unhideWhenUsed/>
    <w:rsid w:val="008D3C9A"/>
    <w:rPr>
      <w:color w:val="605E5C"/>
      <w:shd w:val="clear" w:color="auto" w:fill="E1DFDD"/>
    </w:rPr>
  </w:style>
  <w:style w:type="paragraph" w:styleId="Paragraphedeliste">
    <w:name w:val="List Paragraph"/>
    <w:basedOn w:val="Normal"/>
    <w:uiPriority w:val="34"/>
    <w:qFormat/>
    <w:rsid w:val="00753A2F"/>
    <w:pPr>
      <w:spacing w:after="200" w:line="276" w:lineRule="auto"/>
      <w:ind w:left="720"/>
      <w:contextualSpacing/>
      <w:jc w:val="left"/>
    </w:pPr>
    <w:rPr>
      <w:rFonts w:ascii="Calibri" w:eastAsia="Calibri" w:hAnsi="Calibri" w:cs="Times New Roman"/>
      <w:sz w:val="22"/>
    </w:rPr>
  </w:style>
  <w:style w:type="paragraph" w:customStyle="1" w:styleId="Euromir1">
    <w:name w:val="Euromir Ü1"/>
    <w:basedOn w:val="Normal"/>
    <w:qFormat/>
    <w:rsid w:val="00D17B31"/>
    <w:pPr>
      <w:numPr>
        <w:numId w:val="4"/>
      </w:numPr>
      <w:spacing w:after="200" w:line="276" w:lineRule="auto"/>
      <w:contextualSpacing/>
      <w:jc w:val="left"/>
    </w:pPr>
    <w:rPr>
      <w:rFonts w:asciiTheme="minorHAnsi" w:hAnsiTheme="minorHAnsi"/>
      <w:b/>
      <w:sz w:val="28"/>
      <w:szCs w:val="28"/>
    </w:rPr>
  </w:style>
  <w:style w:type="paragraph" w:customStyle="1" w:styleId="Euromir2">
    <w:name w:val="Euromir Ü2"/>
    <w:basedOn w:val="Normal"/>
    <w:qFormat/>
    <w:rsid w:val="00D17B31"/>
    <w:pPr>
      <w:numPr>
        <w:ilvl w:val="1"/>
        <w:numId w:val="4"/>
      </w:numPr>
      <w:spacing w:before="120" w:after="240" w:line="276" w:lineRule="auto"/>
      <w:contextualSpacing/>
      <w:jc w:val="left"/>
    </w:pPr>
    <w:rPr>
      <w:rFonts w:asciiTheme="minorHAnsi" w:hAnsiTheme="minorHAnsi"/>
      <w:b/>
      <w:szCs w:val="24"/>
    </w:rPr>
  </w:style>
  <w:style w:type="paragraph" w:customStyle="1" w:styleId="Euromir3">
    <w:name w:val="Euromir Ü3"/>
    <w:basedOn w:val="Normal"/>
    <w:qFormat/>
    <w:rsid w:val="00D17B31"/>
    <w:pPr>
      <w:numPr>
        <w:ilvl w:val="2"/>
        <w:numId w:val="4"/>
      </w:numPr>
      <w:spacing w:before="120" w:after="240" w:line="276" w:lineRule="auto"/>
      <w:contextualSpacing/>
      <w:jc w:val="left"/>
    </w:pPr>
    <w:rPr>
      <w:rFonts w:asciiTheme="minorHAnsi" w:hAnsiTheme="minorHAnsi"/>
      <w:szCs w:val="24"/>
      <w:u w:val="single"/>
    </w:rPr>
  </w:style>
  <w:style w:type="character" w:styleId="Marquedecommentaire">
    <w:name w:val="annotation reference"/>
    <w:basedOn w:val="Policepardfaut"/>
    <w:uiPriority w:val="99"/>
    <w:semiHidden/>
    <w:unhideWhenUsed/>
    <w:rsid w:val="00757E64"/>
    <w:rPr>
      <w:sz w:val="16"/>
      <w:szCs w:val="16"/>
    </w:rPr>
  </w:style>
  <w:style w:type="paragraph" w:styleId="Commentaire">
    <w:name w:val="annotation text"/>
    <w:basedOn w:val="Normal"/>
    <w:link w:val="CommentaireCar"/>
    <w:uiPriority w:val="99"/>
    <w:semiHidden/>
    <w:unhideWhenUsed/>
    <w:rsid w:val="00757E64"/>
    <w:rPr>
      <w:sz w:val="20"/>
      <w:szCs w:val="20"/>
    </w:rPr>
  </w:style>
  <w:style w:type="character" w:customStyle="1" w:styleId="CommentaireCar">
    <w:name w:val="Commentaire Car"/>
    <w:basedOn w:val="Policepardfaut"/>
    <w:link w:val="Commentaire"/>
    <w:uiPriority w:val="99"/>
    <w:semiHidden/>
    <w:rsid w:val="00757E64"/>
    <w:rPr>
      <w:rFonts w:ascii="Corbel" w:hAnsi="Corbel"/>
      <w:sz w:val="20"/>
      <w:szCs w:val="20"/>
      <w:lang w:val="de-DE"/>
    </w:rPr>
  </w:style>
  <w:style w:type="paragraph" w:styleId="Objetducommentaire">
    <w:name w:val="annotation subject"/>
    <w:basedOn w:val="Commentaire"/>
    <w:next w:val="Commentaire"/>
    <w:link w:val="ObjetducommentaireCar"/>
    <w:uiPriority w:val="99"/>
    <w:semiHidden/>
    <w:unhideWhenUsed/>
    <w:rsid w:val="00757E64"/>
    <w:rPr>
      <w:b/>
      <w:bCs/>
    </w:rPr>
  </w:style>
  <w:style w:type="character" w:customStyle="1" w:styleId="ObjetducommentaireCar">
    <w:name w:val="Objet du commentaire Car"/>
    <w:basedOn w:val="CommentaireCar"/>
    <w:link w:val="Objetducommentaire"/>
    <w:uiPriority w:val="99"/>
    <w:semiHidden/>
    <w:rsid w:val="00757E64"/>
    <w:rPr>
      <w:rFonts w:ascii="Corbel" w:hAnsi="Corbel"/>
      <w:b/>
      <w:bCs/>
      <w:sz w:val="20"/>
      <w:szCs w:val="20"/>
      <w:lang w:val="de-DE"/>
    </w:rPr>
  </w:style>
  <w:style w:type="paragraph" w:styleId="Sansinterligne">
    <w:name w:val="No Spacing"/>
    <w:qFormat/>
    <w:rsid w:val="004A5F44"/>
    <w:pPr>
      <w:suppressAutoHyphens/>
      <w:spacing w:after="0"/>
    </w:pPr>
    <w:rPr>
      <w:rFonts w:ascii="Century Gothic" w:eastAsia="Times New Roman" w:hAnsi="Century Gothic" w:cs="Century Gothic"/>
      <w:sz w:val="20"/>
      <w:szCs w:val="24"/>
      <w:lang w:eastAsia="zh-CN"/>
    </w:rPr>
  </w:style>
  <w:style w:type="character" w:customStyle="1" w:styleId="Mentionnonrsolue3">
    <w:name w:val="Mention non résolue3"/>
    <w:basedOn w:val="Policepardfaut"/>
    <w:uiPriority w:val="99"/>
    <w:semiHidden/>
    <w:unhideWhenUsed/>
    <w:rsid w:val="00FB1F5E"/>
    <w:rPr>
      <w:color w:val="605E5C"/>
      <w:shd w:val="clear" w:color="auto" w:fill="E1DFDD"/>
    </w:rPr>
  </w:style>
  <w:style w:type="paragraph" w:styleId="NormalWeb">
    <w:name w:val="Normal (Web)"/>
    <w:basedOn w:val="Normal"/>
    <w:uiPriority w:val="99"/>
    <w:unhideWhenUsed/>
    <w:rsid w:val="00CB6844"/>
    <w:pPr>
      <w:spacing w:before="100" w:beforeAutospacing="1" w:after="100" w:afterAutospacing="1"/>
      <w:jc w:val="left"/>
    </w:pPr>
    <w:rPr>
      <w:rFonts w:ascii="Times New Roman" w:eastAsia="Times New Roman" w:hAnsi="Times New Roman" w:cs="Times New Roman"/>
      <w:szCs w:val="24"/>
      <w:lang w:val="fr-FR" w:eastAsia="fr-FR"/>
    </w:rPr>
  </w:style>
  <w:style w:type="character" w:styleId="Mentionnonrsolue">
    <w:name w:val="Unresolved Mention"/>
    <w:basedOn w:val="Policepardfaut"/>
    <w:uiPriority w:val="99"/>
    <w:semiHidden/>
    <w:unhideWhenUsed/>
    <w:rsid w:val="00CB6844"/>
    <w:rPr>
      <w:color w:val="605E5C"/>
      <w:shd w:val="clear" w:color="auto" w:fill="E1DFDD"/>
    </w:rPr>
  </w:style>
  <w:style w:type="character" w:styleId="Lienhypertextesuivivisit">
    <w:name w:val="FollowedHyperlink"/>
    <w:basedOn w:val="Policepardfaut"/>
    <w:uiPriority w:val="99"/>
    <w:semiHidden/>
    <w:unhideWhenUsed/>
    <w:rsid w:val="007563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4079">
      <w:bodyDiv w:val="1"/>
      <w:marLeft w:val="0"/>
      <w:marRight w:val="0"/>
      <w:marTop w:val="0"/>
      <w:marBottom w:val="0"/>
      <w:divBdr>
        <w:top w:val="none" w:sz="0" w:space="0" w:color="auto"/>
        <w:left w:val="none" w:sz="0" w:space="0" w:color="auto"/>
        <w:bottom w:val="none" w:sz="0" w:space="0" w:color="auto"/>
        <w:right w:val="none" w:sz="0" w:space="0" w:color="auto"/>
      </w:divBdr>
    </w:div>
    <w:div w:id="115490188">
      <w:bodyDiv w:val="1"/>
      <w:marLeft w:val="0"/>
      <w:marRight w:val="0"/>
      <w:marTop w:val="0"/>
      <w:marBottom w:val="0"/>
      <w:divBdr>
        <w:top w:val="none" w:sz="0" w:space="0" w:color="auto"/>
        <w:left w:val="none" w:sz="0" w:space="0" w:color="auto"/>
        <w:bottom w:val="none" w:sz="0" w:space="0" w:color="auto"/>
        <w:right w:val="none" w:sz="0" w:space="0" w:color="auto"/>
      </w:divBdr>
    </w:div>
    <w:div w:id="205141149">
      <w:bodyDiv w:val="1"/>
      <w:marLeft w:val="0"/>
      <w:marRight w:val="0"/>
      <w:marTop w:val="0"/>
      <w:marBottom w:val="0"/>
      <w:divBdr>
        <w:top w:val="none" w:sz="0" w:space="0" w:color="auto"/>
        <w:left w:val="none" w:sz="0" w:space="0" w:color="auto"/>
        <w:bottom w:val="none" w:sz="0" w:space="0" w:color="auto"/>
        <w:right w:val="none" w:sz="0" w:space="0" w:color="auto"/>
      </w:divBdr>
    </w:div>
    <w:div w:id="386300549">
      <w:bodyDiv w:val="1"/>
      <w:marLeft w:val="0"/>
      <w:marRight w:val="0"/>
      <w:marTop w:val="0"/>
      <w:marBottom w:val="0"/>
      <w:divBdr>
        <w:top w:val="none" w:sz="0" w:space="0" w:color="auto"/>
        <w:left w:val="none" w:sz="0" w:space="0" w:color="auto"/>
        <w:bottom w:val="none" w:sz="0" w:space="0" w:color="auto"/>
        <w:right w:val="none" w:sz="0" w:space="0" w:color="auto"/>
      </w:divBdr>
    </w:div>
    <w:div w:id="1534806955">
      <w:bodyDiv w:val="1"/>
      <w:marLeft w:val="0"/>
      <w:marRight w:val="0"/>
      <w:marTop w:val="0"/>
      <w:marBottom w:val="0"/>
      <w:divBdr>
        <w:top w:val="none" w:sz="0" w:space="0" w:color="auto"/>
        <w:left w:val="none" w:sz="0" w:space="0" w:color="auto"/>
        <w:bottom w:val="none" w:sz="0" w:space="0" w:color="auto"/>
        <w:right w:val="none" w:sz="0" w:space="0" w:color="auto"/>
      </w:divBdr>
    </w:div>
    <w:div w:id="1849565241">
      <w:bodyDiv w:val="1"/>
      <w:marLeft w:val="0"/>
      <w:marRight w:val="0"/>
      <w:marTop w:val="0"/>
      <w:marBottom w:val="0"/>
      <w:divBdr>
        <w:top w:val="none" w:sz="0" w:space="0" w:color="auto"/>
        <w:left w:val="none" w:sz="0" w:space="0" w:color="auto"/>
        <w:bottom w:val="none" w:sz="0" w:space="0" w:color="auto"/>
        <w:right w:val="none" w:sz="0" w:space="0" w:color="auto"/>
      </w:divBdr>
    </w:div>
    <w:div w:id="1874806812">
      <w:bodyDiv w:val="1"/>
      <w:marLeft w:val="0"/>
      <w:marRight w:val="0"/>
      <w:marTop w:val="0"/>
      <w:marBottom w:val="0"/>
      <w:divBdr>
        <w:top w:val="none" w:sz="0" w:space="0" w:color="auto"/>
        <w:left w:val="none" w:sz="0" w:space="0" w:color="auto"/>
        <w:bottom w:val="none" w:sz="0" w:space="0" w:color="auto"/>
        <w:right w:val="none" w:sz="0" w:space="0" w:color="auto"/>
      </w:divBdr>
    </w:div>
    <w:div w:id="208656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jumpp.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andra-megter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xxt-change.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jumpp.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296DC-D4F8-40E7-B281-F7CE66F1E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1209</Words>
  <Characters>6654</Characters>
  <Application>Microsoft Office Word</Application>
  <DocSecurity>0</DocSecurity>
  <Lines>55</Lines>
  <Paragraphs>15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Megtert</dc:creator>
  <cp:keywords/>
  <dc:description/>
  <cp:lastModifiedBy>Sandra Megtert</cp:lastModifiedBy>
  <cp:revision>23</cp:revision>
  <cp:lastPrinted>2021-01-29T15:51:00Z</cp:lastPrinted>
  <dcterms:created xsi:type="dcterms:W3CDTF">2021-02-24T17:47:00Z</dcterms:created>
  <dcterms:modified xsi:type="dcterms:W3CDTF">2021-02-25T13:30:00Z</dcterms:modified>
</cp:coreProperties>
</file>